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021679E" w:rsidR="006B20EF" w:rsidRPr="007641F1" w:rsidRDefault="006B20EF" w:rsidP="29627BB2">
      <w:pPr>
        <w:spacing w:line="276" w:lineRule="auto"/>
        <w:jc w:val="both"/>
        <w:rPr>
          <w:rFonts w:ascii="Aptos" w:eastAsia="Arial" w:hAnsi="Aptos" w:cs="Arial"/>
          <w:b/>
          <w:bCs/>
          <w:u w:val="single"/>
        </w:rPr>
      </w:pPr>
    </w:p>
    <w:p w14:paraId="3FE06695" w14:textId="77777777" w:rsidR="007641F1" w:rsidRPr="007641F1" w:rsidRDefault="007641F1" w:rsidP="29627BB2">
      <w:pPr>
        <w:spacing w:line="276" w:lineRule="auto"/>
        <w:jc w:val="center"/>
        <w:rPr>
          <w:rFonts w:ascii="Aptos" w:eastAsia="Arial" w:hAnsi="Aptos" w:cs="Arial"/>
          <w:b/>
          <w:bCs/>
          <w:u w:val="single"/>
        </w:rPr>
      </w:pPr>
    </w:p>
    <w:p w14:paraId="1DA9794F" w14:textId="77777777" w:rsidR="007641F1" w:rsidRPr="007641F1" w:rsidRDefault="00660DD2" w:rsidP="29627BB2">
      <w:pPr>
        <w:spacing w:line="276" w:lineRule="auto"/>
        <w:jc w:val="center"/>
        <w:rPr>
          <w:rFonts w:ascii="Aptos" w:eastAsia="Arial" w:hAnsi="Aptos" w:cs="Arial"/>
          <w:b/>
          <w:bCs/>
          <w:u w:val="single"/>
        </w:rPr>
      </w:pPr>
      <w:r w:rsidRPr="007641F1">
        <w:rPr>
          <w:rFonts w:ascii="Aptos" w:eastAsia="Arial" w:hAnsi="Aptos" w:cs="Arial"/>
          <w:b/>
          <w:bCs/>
          <w:u w:val="single"/>
        </w:rPr>
        <w:t>ALL</w:t>
      </w:r>
      <w:r w:rsidR="007641F1" w:rsidRPr="007641F1">
        <w:rPr>
          <w:rFonts w:ascii="Aptos" w:eastAsia="Arial" w:hAnsi="Aptos" w:cs="Arial"/>
          <w:b/>
          <w:bCs/>
          <w:u w:val="single"/>
        </w:rPr>
        <w:t xml:space="preserve"> (Advanced Learner Loans)</w:t>
      </w:r>
      <w:r w:rsidRPr="007641F1">
        <w:rPr>
          <w:rFonts w:ascii="Aptos" w:eastAsia="Arial" w:hAnsi="Aptos" w:cs="Arial"/>
          <w:b/>
          <w:bCs/>
          <w:u w:val="single"/>
        </w:rPr>
        <w:t xml:space="preserve"> </w:t>
      </w:r>
      <w:r w:rsidR="6C4F0CE7" w:rsidRPr="007641F1">
        <w:rPr>
          <w:rFonts w:ascii="Aptos" w:eastAsia="Arial" w:hAnsi="Aptos" w:cs="Arial"/>
          <w:b/>
          <w:bCs/>
          <w:u w:val="single"/>
        </w:rPr>
        <w:t>LEARNER</w:t>
      </w:r>
      <w:r w:rsidR="73F19223" w:rsidRPr="007641F1">
        <w:rPr>
          <w:rFonts w:ascii="Aptos" w:eastAsia="Arial" w:hAnsi="Aptos" w:cs="Arial"/>
          <w:b/>
          <w:bCs/>
          <w:u w:val="single"/>
        </w:rPr>
        <w:t xml:space="preserve"> </w:t>
      </w:r>
      <w:r w:rsidR="005919CA" w:rsidRPr="007641F1">
        <w:rPr>
          <w:rFonts w:ascii="Aptos" w:eastAsia="Arial" w:hAnsi="Aptos" w:cs="Arial"/>
          <w:b/>
          <w:bCs/>
          <w:u w:val="single"/>
        </w:rPr>
        <w:t>COMPLAINTS</w:t>
      </w:r>
      <w:r w:rsidR="00A46BEA" w:rsidRPr="007641F1">
        <w:rPr>
          <w:rFonts w:ascii="Aptos" w:eastAsia="Arial" w:hAnsi="Aptos" w:cs="Arial"/>
          <w:b/>
          <w:bCs/>
          <w:u w:val="single"/>
        </w:rPr>
        <w:t xml:space="preserve"> POLICY</w:t>
      </w:r>
      <w:r w:rsidR="6998C674" w:rsidRPr="007641F1">
        <w:rPr>
          <w:rFonts w:ascii="Aptos" w:eastAsia="Arial" w:hAnsi="Aptos" w:cs="Arial"/>
          <w:b/>
          <w:bCs/>
          <w:u w:val="single"/>
        </w:rPr>
        <w:t xml:space="preserve"> </w:t>
      </w:r>
    </w:p>
    <w:p w14:paraId="76436B7F" w14:textId="1ECC4616" w:rsidR="00A46BEA" w:rsidRPr="007641F1" w:rsidRDefault="6998C674" w:rsidP="29627BB2">
      <w:pPr>
        <w:spacing w:line="276" w:lineRule="auto"/>
        <w:jc w:val="center"/>
        <w:rPr>
          <w:rFonts w:ascii="Aptos" w:eastAsia="Arial" w:hAnsi="Aptos" w:cs="Arial"/>
          <w:b/>
          <w:bCs/>
          <w:u w:val="single"/>
        </w:rPr>
      </w:pPr>
      <w:r w:rsidRPr="007641F1">
        <w:rPr>
          <w:rFonts w:ascii="Aptos" w:eastAsia="Arial" w:hAnsi="Aptos" w:cs="Arial"/>
          <w:b/>
          <w:bCs/>
          <w:u w:val="single"/>
        </w:rPr>
        <w:t>202</w:t>
      </w:r>
      <w:r w:rsidR="4489B106" w:rsidRPr="007641F1">
        <w:rPr>
          <w:rFonts w:ascii="Aptos" w:eastAsia="Arial" w:hAnsi="Aptos" w:cs="Arial"/>
          <w:b/>
          <w:bCs/>
          <w:u w:val="single"/>
        </w:rPr>
        <w:t>5</w:t>
      </w:r>
      <w:r w:rsidRPr="007641F1">
        <w:rPr>
          <w:rFonts w:ascii="Aptos" w:eastAsia="Arial" w:hAnsi="Aptos" w:cs="Arial"/>
          <w:b/>
          <w:bCs/>
          <w:u w:val="single"/>
        </w:rPr>
        <w:t>-202</w:t>
      </w:r>
      <w:r w:rsidR="14350AA4" w:rsidRPr="007641F1">
        <w:rPr>
          <w:rFonts w:ascii="Aptos" w:eastAsia="Arial" w:hAnsi="Aptos" w:cs="Arial"/>
          <w:b/>
          <w:bCs/>
          <w:u w:val="single"/>
        </w:rPr>
        <w:t>6</w:t>
      </w:r>
    </w:p>
    <w:p w14:paraId="662531E0" w14:textId="77777777" w:rsidR="00660DD2" w:rsidRPr="007641F1" w:rsidRDefault="00660DD2" w:rsidP="00660DD2">
      <w:pPr>
        <w:spacing w:after="0" w:line="240" w:lineRule="auto"/>
        <w:rPr>
          <w:rFonts w:ascii="Aptos" w:eastAsia="Times New Roman" w:hAnsi="Aptos"/>
          <w:lang w:eastAsia="en-GB"/>
        </w:rPr>
      </w:pPr>
    </w:p>
    <w:p w14:paraId="1B7A4861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0"/>
        <w:rPr>
          <w:rFonts w:ascii="Aptos" w:eastAsia="Times New Roman" w:hAnsi="Aptos"/>
          <w:b/>
          <w:bCs/>
          <w:kern w:val="36"/>
          <w:lang w:eastAsia="en-GB"/>
        </w:rPr>
      </w:pPr>
      <w:r w:rsidRPr="007641F1">
        <w:rPr>
          <w:rFonts w:ascii="Aptos" w:eastAsia="Times New Roman" w:hAnsi="Aptos"/>
          <w:b/>
          <w:bCs/>
          <w:kern w:val="36"/>
          <w:lang w:eastAsia="en-GB"/>
        </w:rPr>
        <w:t>Green Labyrinth</w:t>
      </w:r>
    </w:p>
    <w:p w14:paraId="3D377D4A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 xml:space="preserve">Complaints Policy - Advanced Learner Loan (ALL) </w:t>
      </w:r>
    </w:p>
    <w:p w14:paraId="14CE67BD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1. Purpose</w:t>
      </w:r>
    </w:p>
    <w:p w14:paraId="4D6E67B2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This Complaints Policy sets out the procedure by which learners may raise concerns or complaints relating to the services provided by Green Labyrinth.</w:t>
      </w:r>
    </w:p>
    <w:p w14:paraId="1F8CEDAF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The policy is designed to ensure that complaints are:</w:t>
      </w:r>
    </w:p>
    <w:p w14:paraId="7C871A21" w14:textId="77777777" w:rsidR="007641F1" w:rsidRPr="007641F1" w:rsidRDefault="007641F1" w:rsidP="007641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Handled fairly, consistently, and transparently</w:t>
      </w:r>
    </w:p>
    <w:p w14:paraId="66024FBC" w14:textId="77777777" w:rsidR="007641F1" w:rsidRPr="007641F1" w:rsidRDefault="007641F1" w:rsidP="007641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Investigated proportionately</w:t>
      </w:r>
    </w:p>
    <w:p w14:paraId="01B9C0EF" w14:textId="77777777" w:rsidR="007641F1" w:rsidRPr="007641F1" w:rsidRDefault="007641F1" w:rsidP="007641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Resolved wherever reasonably possible</w:t>
      </w:r>
    </w:p>
    <w:p w14:paraId="4E2B37F0" w14:textId="77777777" w:rsidR="007641F1" w:rsidRPr="007641F1" w:rsidRDefault="007641F1" w:rsidP="007641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Managed without prejudice to statutory or regulatory obligations</w:t>
      </w:r>
    </w:p>
    <w:p w14:paraId="6B0DC4FC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This policy is procedural in nature and does not create any entitlement to financial compensation or refunds.</w:t>
      </w:r>
    </w:p>
    <w:p w14:paraId="0A4ADD61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2. Scope</w:t>
      </w:r>
    </w:p>
    <w:p w14:paraId="751B8004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This policy applies to:</w:t>
      </w:r>
    </w:p>
    <w:p w14:paraId="3B0B18FB" w14:textId="77777777" w:rsidR="007641F1" w:rsidRPr="007641F1" w:rsidRDefault="007641F1" w:rsidP="007641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All learners enrolled on Green Labyrinth ALL Courses.</w:t>
      </w:r>
    </w:p>
    <w:p w14:paraId="33CA3505" w14:textId="77777777" w:rsidR="007641F1" w:rsidRPr="007641F1" w:rsidRDefault="007641F1" w:rsidP="007641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All staff involved in ALL delivery, ALL administration, ALL learner support, and ALL management</w:t>
      </w:r>
    </w:p>
    <w:p w14:paraId="6F60C081" w14:textId="77777777" w:rsidR="007641F1" w:rsidRPr="007641F1" w:rsidRDefault="007641F1" w:rsidP="007641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Complaints relating to teaching, learning support, administration, conduct, or service delivery</w:t>
      </w:r>
    </w:p>
    <w:p w14:paraId="6DC5FDD6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This policy does </w:t>
      </w:r>
      <w:r w:rsidRPr="007641F1">
        <w:rPr>
          <w:rFonts w:ascii="Aptos" w:eastAsia="Times New Roman" w:hAnsi="Aptos"/>
          <w:b/>
          <w:bCs/>
          <w:lang w:eastAsia="en-GB"/>
        </w:rPr>
        <w:t>not</w:t>
      </w:r>
      <w:r w:rsidRPr="007641F1">
        <w:rPr>
          <w:rFonts w:ascii="Aptos" w:eastAsia="Times New Roman" w:hAnsi="Aptos"/>
          <w:lang w:eastAsia="en-GB"/>
        </w:rPr>
        <w:t xml:space="preserve"> apply to:</w:t>
      </w:r>
    </w:p>
    <w:p w14:paraId="5FA7E703" w14:textId="77777777" w:rsidR="007641F1" w:rsidRPr="007641F1" w:rsidRDefault="007641F1" w:rsidP="007641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Decisions made by the Student Loans Company (SLC)</w:t>
      </w:r>
    </w:p>
    <w:p w14:paraId="47564A10" w14:textId="77777777" w:rsidR="007641F1" w:rsidRPr="007641F1" w:rsidRDefault="007641F1" w:rsidP="007641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Loan eligibility, repayment, interest, or write-off decisions</w:t>
      </w:r>
    </w:p>
    <w:p w14:paraId="546417D6" w14:textId="77777777" w:rsidR="007641F1" w:rsidRPr="007641F1" w:rsidRDefault="007641F1" w:rsidP="007641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Matters governed exclusively by SLC rules and processes</w:t>
      </w:r>
    </w:p>
    <w:p w14:paraId="1EF34649" w14:textId="77777777" w:rsidR="007641F1" w:rsidRPr="007641F1" w:rsidRDefault="007641F1" w:rsidP="007641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Learners on Study </w:t>
      </w:r>
      <w:proofErr w:type="spellStart"/>
      <w:r w:rsidRPr="007641F1">
        <w:rPr>
          <w:rFonts w:ascii="Aptos" w:eastAsia="Times New Roman" w:hAnsi="Aptos"/>
          <w:lang w:eastAsia="en-GB"/>
        </w:rPr>
        <w:t>Programmes</w:t>
      </w:r>
      <w:proofErr w:type="spellEnd"/>
      <w:r w:rsidRPr="007641F1">
        <w:rPr>
          <w:rFonts w:ascii="Aptos" w:eastAsia="Times New Roman" w:hAnsi="Aptos"/>
          <w:lang w:eastAsia="en-GB"/>
        </w:rPr>
        <w:t>, other funded, or commercial Training Courses.</w:t>
      </w:r>
    </w:p>
    <w:p w14:paraId="75DC1451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 xml:space="preserve">3. Relationship </w:t>
      </w:r>
      <w:proofErr w:type="gramStart"/>
      <w:r w:rsidRPr="007641F1">
        <w:rPr>
          <w:rFonts w:ascii="Aptos" w:eastAsia="Times New Roman" w:hAnsi="Aptos"/>
          <w:b/>
          <w:bCs/>
          <w:lang w:eastAsia="en-GB"/>
        </w:rPr>
        <w:t>to</w:t>
      </w:r>
      <w:proofErr w:type="gramEnd"/>
      <w:r w:rsidRPr="007641F1">
        <w:rPr>
          <w:rFonts w:ascii="Aptos" w:eastAsia="Times New Roman" w:hAnsi="Aptos"/>
          <w:b/>
          <w:bCs/>
          <w:lang w:eastAsia="en-GB"/>
        </w:rPr>
        <w:t xml:space="preserve"> Funding and Refunds</w:t>
      </w:r>
    </w:p>
    <w:p w14:paraId="1704514D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lastRenderedPageBreak/>
        <w:t xml:space="preserve">Where a learner is funded through an </w:t>
      </w:r>
      <w:r w:rsidRPr="007641F1">
        <w:rPr>
          <w:rFonts w:ascii="Aptos" w:eastAsia="Times New Roman" w:hAnsi="Aptos"/>
          <w:b/>
          <w:bCs/>
          <w:lang w:eastAsia="en-GB"/>
        </w:rPr>
        <w:t>Advanced Learner Loan (ALL)</w:t>
      </w:r>
      <w:r w:rsidRPr="007641F1">
        <w:rPr>
          <w:rFonts w:ascii="Aptos" w:eastAsia="Times New Roman" w:hAnsi="Aptos"/>
          <w:lang w:eastAsia="en-GB"/>
        </w:rPr>
        <w:t>:</w:t>
      </w:r>
    </w:p>
    <w:p w14:paraId="1BAFC3C7" w14:textId="77777777" w:rsidR="007641F1" w:rsidRPr="007641F1" w:rsidRDefault="007641F1" w:rsidP="007641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The loan agreement exists </w:t>
      </w:r>
      <w:r w:rsidRPr="007641F1">
        <w:rPr>
          <w:rFonts w:ascii="Aptos" w:eastAsia="Times New Roman" w:hAnsi="Aptos"/>
          <w:b/>
          <w:bCs/>
          <w:lang w:eastAsia="en-GB"/>
        </w:rPr>
        <w:t>solely between the learner and the Student Loans Company (SLC)</w:t>
      </w:r>
      <w:r w:rsidRPr="007641F1">
        <w:rPr>
          <w:rFonts w:ascii="Aptos" w:eastAsia="Times New Roman" w:hAnsi="Aptos"/>
          <w:lang w:eastAsia="en-GB"/>
        </w:rPr>
        <w:t>.</w:t>
      </w:r>
    </w:p>
    <w:p w14:paraId="40F663BD" w14:textId="77777777" w:rsidR="007641F1" w:rsidRPr="007641F1" w:rsidRDefault="007641F1" w:rsidP="007641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Green Labyrinth is </w:t>
      </w:r>
      <w:r w:rsidRPr="007641F1">
        <w:rPr>
          <w:rFonts w:ascii="Aptos" w:eastAsia="Times New Roman" w:hAnsi="Aptos"/>
          <w:b/>
          <w:bCs/>
          <w:lang w:eastAsia="en-GB"/>
        </w:rPr>
        <w:t>not the lender</w:t>
      </w:r>
      <w:r w:rsidRPr="007641F1">
        <w:rPr>
          <w:rFonts w:ascii="Aptos" w:eastAsia="Times New Roman" w:hAnsi="Aptos"/>
          <w:lang w:eastAsia="en-GB"/>
        </w:rPr>
        <w:t xml:space="preserve"> and has </w:t>
      </w:r>
      <w:r w:rsidRPr="007641F1">
        <w:rPr>
          <w:rFonts w:ascii="Aptos" w:eastAsia="Times New Roman" w:hAnsi="Aptos"/>
          <w:b/>
          <w:bCs/>
          <w:lang w:eastAsia="en-GB"/>
        </w:rPr>
        <w:t>no authority</w:t>
      </w:r>
      <w:r w:rsidRPr="007641F1">
        <w:rPr>
          <w:rFonts w:ascii="Aptos" w:eastAsia="Times New Roman" w:hAnsi="Aptos"/>
          <w:lang w:eastAsia="en-GB"/>
        </w:rPr>
        <w:t xml:space="preserve"> to vary loan terms, repayments, or liability.</w:t>
      </w:r>
    </w:p>
    <w:p w14:paraId="475D1736" w14:textId="77777777" w:rsidR="007641F1" w:rsidRPr="007641F1" w:rsidRDefault="007641F1" w:rsidP="007641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This Complaints Procedure </w:t>
      </w:r>
      <w:r w:rsidRPr="007641F1">
        <w:rPr>
          <w:rFonts w:ascii="Aptos" w:eastAsia="Times New Roman" w:hAnsi="Aptos"/>
          <w:b/>
          <w:bCs/>
          <w:lang w:eastAsia="en-GB"/>
        </w:rPr>
        <w:t>does not provide a mechanism for obtaining a refund</w:t>
      </w:r>
      <w:r w:rsidRPr="007641F1">
        <w:rPr>
          <w:rFonts w:ascii="Aptos" w:eastAsia="Times New Roman" w:hAnsi="Aptos"/>
          <w:lang w:eastAsia="en-GB"/>
        </w:rPr>
        <w:t xml:space="preserve"> of Advanced Learner Loan funding.</w:t>
      </w:r>
    </w:p>
    <w:p w14:paraId="59504C61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</w:p>
    <w:p w14:paraId="788F164D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Any matters relating to funding adjustments must be managed through SLC processes, including:</w:t>
      </w:r>
    </w:p>
    <w:p w14:paraId="24578BD9" w14:textId="77777777" w:rsidR="007641F1" w:rsidRPr="007641F1" w:rsidRDefault="007641F1" w:rsidP="007641F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Withdrawal</w:t>
      </w:r>
    </w:p>
    <w:p w14:paraId="4D9CD1AF" w14:textId="77777777" w:rsidR="007641F1" w:rsidRPr="007641F1" w:rsidRDefault="007641F1" w:rsidP="007641F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Break in Learning</w:t>
      </w:r>
    </w:p>
    <w:p w14:paraId="1424F5DA" w14:textId="77777777" w:rsidR="007641F1" w:rsidRPr="007641F1" w:rsidRDefault="007641F1" w:rsidP="007641F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Change of Circumstance (CoC) notifications</w:t>
      </w:r>
    </w:p>
    <w:p w14:paraId="68F8666A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The existence or outcome of a complaint </w:t>
      </w:r>
      <w:r w:rsidRPr="007641F1">
        <w:rPr>
          <w:rFonts w:ascii="Aptos" w:eastAsia="Times New Roman" w:hAnsi="Aptos"/>
          <w:b/>
          <w:bCs/>
          <w:lang w:eastAsia="en-GB"/>
        </w:rPr>
        <w:t>does not suspend, vary, or extinguish</w:t>
      </w:r>
      <w:r w:rsidRPr="007641F1">
        <w:rPr>
          <w:rFonts w:ascii="Aptos" w:eastAsia="Times New Roman" w:hAnsi="Aptos"/>
          <w:lang w:eastAsia="en-GB"/>
        </w:rPr>
        <w:t xml:space="preserve"> a learner’s repayment obligations to the SLC unless and until the SLC determines otherwise.</w:t>
      </w:r>
    </w:p>
    <w:p w14:paraId="1C7DCF85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4. Informal Resolution</w:t>
      </w:r>
    </w:p>
    <w:p w14:paraId="218EE115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Green Labyrinth encourages learners to raise concerns </w:t>
      </w:r>
      <w:r w:rsidRPr="007641F1">
        <w:rPr>
          <w:rFonts w:ascii="Aptos" w:eastAsia="Times New Roman" w:hAnsi="Aptos"/>
          <w:b/>
          <w:bCs/>
          <w:lang w:eastAsia="en-GB"/>
        </w:rPr>
        <w:t>as early as possible</w:t>
      </w:r>
      <w:r w:rsidRPr="007641F1">
        <w:rPr>
          <w:rFonts w:ascii="Aptos" w:eastAsia="Times New Roman" w:hAnsi="Aptos"/>
          <w:lang w:eastAsia="en-GB"/>
        </w:rPr>
        <w:t>, preferably with:</w:t>
      </w:r>
    </w:p>
    <w:p w14:paraId="015DAC36" w14:textId="77777777" w:rsidR="007641F1" w:rsidRPr="007641F1" w:rsidRDefault="007641F1" w:rsidP="007641F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Their tutor, or</w:t>
      </w:r>
    </w:p>
    <w:p w14:paraId="01A45555" w14:textId="77777777" w:rsidR="007641F1" w:rsidRPr="007641F1" w:rsidRDefault="007641F1" w:rsidP="007641F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 member of the learner support or administration team</w:t>
      </w:r>
    </w:p>
    <w:p w14:paraId="186A5CD3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Many issues can be resolved promptly through informal discussion and clarification. Informal resolution does not affect a learner’s right to submit a formal complaint if the issue remains unresolved.</w:t>
      </w:r>
    </w:p>
    <w:p w14:paraId="4377B971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5. Formal Complaints Procedure</w:t>
      </w:r>
    </w:p>
    <w:p w14:paraId="63120ABD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5.1 Submission</w:t>
      </w:r>
    </w:p>
    <w:p w14:paraId="4632DF5C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 formal complaint must:</w:t>
      </w:r>
    </w:p>
    <w:p w14:paraId="28AF9913" w14:textId="77777777" w:rsidR="007641F1" w:rsidRPr="007641F1" w:rsidRDefault="007641F1" w:rsidP="007641F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Be submitted in writing (email or letter)</w:t>
      </w:r>
    </w:p>
    <w:p w14:paraId="739040C5" w14:textId="77777777" w:rsidR="007641F1" w:rsidRPr="007641F1" w:rsidRDefault="007641F1" w:rsidP="007641F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Clearly describe the issue and relevant dates</w:t>
      </w:r>
    </w:p>
    <w:p w14:paraId="0011C1BA" w14:textId="77777777" w:rsidR="007641F1" w:rsidRPr="007641F1" w:rsidRDefault="007641F1" w:rsidP="007641F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Be raised within a reasonable timeframe after the matter arises</w:t>
      </w:r>
    </w:p>
    <w:p w14:paraId="4441AF4C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Complaints raised retrospectively, after delivery has taken place or learning has progressed significantly, </w:t>
      </w:r>
      <w:proofErr w:type="gramStart"/>
      <w:r w:rsidRPr="007641F1">
        <w:rPr>
          <w:rFonts w:ascii="Aptos" w:eastAsia="Times New Roman" w:hAnsi="Aptos"/>
          <w:lang w:eastAsia="en-GB"/>
        </w:rPr>
        <w:t>may be</w:t>
      </w:r>
      <w:proofErr w:type="gramEnd"/>
      <w:r w:rsidRPr="007641F1">
        <w:rPr>
          <w:rFonts w:ascii="Aptos" w:eastAsia="Times New Roman" w:hAnsi="Aptos"/>
          <w:lang w:eastAsia="en-GB"/>
        </w:rPr>
        <w:t xml:space="preserve"> limited in the remedies available.</w:t>
      </w:r>
    </w:p>
    <w:p w14:paraId="26EECF54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5.2 Acknowledgement</w:t>
      </w:r>
    </w:p>
    <w:p w14:paraId="32948D07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lastRenderedPageBreak/>
        <w:t>Green Labyrinth will:</w:t>
      </w:r>
    </w:p>
    <w:p w14:paraId="07F31246" w14:textId="77777777" w:rsidR="007641F1" w:rsidRPr="007641F1" w:rsidRDefault="007641F1" w:rsidP="007641F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Acknowledge receipt of a formal complaint within </w:t>
      </w:r>
      <w:r w:rsidRPr="007641F1">
        <w:rPr>
          <w:rFonts w:ascii="Aptos" w:eastAsia="Times New Roman" w:hAnsi="Aptos"/>
          <w:b/>
          <w:bCs/>
          <w:lang w:eastAsia="en-GB"/>
        </w:rPr>
        <w:t>5 working days</w:t>
      </w:r>
    </w:p>
    <w:p w14:paraId="1310BAE9" w14:textId="77777777" w:rsidR="007641F1" w:rsidRPr="007641F1" w:rsidRDefault="007641F1" w:rsidP="007641F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Confirm the scope of the investigation and the expected response timeframe</w:t>
      </w:r>
    </w:p>
    <w:p w14:paraId="03DF27F5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5.3 Investigation</w:t>
      </w:r>
    </w:p>
    <w:p w14:paraId="230C9508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The complaint will be:</w:t>
      </w:r>
    </w:p>
    <w:p w14:paraId="34BE2222" w14:textId="77777777" w:rsidR="007641F1" w:rsidRPr="007641F1" w:rsidRDefault="007641F1" w:rsidP="007641F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Reviewed by an appropriate manager not directly involved where possible</w:t>
      </w:r>
    </w:p>
    <w:p w14:paraId="7D303E1A" w14:textId="77777777" w:rsidR="007641F1" w:rsidRPr="007641F1" w:rsidRDefault="007641F1" w:rsidP="007641F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Considered against evidence, records, and applicable policies</w:t>
      </w:r>
    </w:p>
    <w:p w14:paraId="3ECB5DC9" w14:textId="77777777" w:rsidR="007641F1" w:rsidRPr="007641F1" w:rsidRDefault="007641F1" w:rsidP="007641F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Investigated proportionately </w:t>
      </w:r>
      <w:proofErr w:type="gramStart"/>
      <w:r w:rsidRPr="007641F1">
        <w:rPr>
          <w:rFonts w:ascii="Aptos" w:eastAsia="Times New Roman" w:hAnsi="Aptos"/>
          <w:lang w:eastAsia="en-GB"/>
        </w:rPr>
        <w:t>to</w:t>
      </w:r>
      <w:proofErr w:type="gramEnd"/>
      <w:r w:rsidRPr="007641F1">
        <w:rPr>
          <w:rFonts w:ascii="Aptos" w:eastAsia="Times New Roman" w:hAnsi="Aptos"/>
          <w:lang w:eastAsia="en-GB"/>
        </w:rPr>
        <w:t xml:space="preserve"> the nature and seriousness of the issue</w:t>
      </w:r>
    </w:p>
    <w:p w14:paraId="1AD9C90E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Green Labyrinth reserves the right to decline to investigate complaints that are:</w:t>
      </w:r>
    </w:p>
    <w:p w14:paraId="3002DA2E" w14:textId="77777777" w:rsidR="007641F1" w:rsidRPr="007641F1" w:rsidRDefault="007641F1" w:rsidP="007641F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Vexatious or abusive</w:t>
      </w:r>
    </w:p>
    <w:p w14:paraId="7878E41C" w14:textId="77777777" w:rsidR="007641F1" w:rsidRPr="007641F1" w:rsidRDefault="007641F1" w:rsidP="007641F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Repetitive without or without new evidence</w:t>
      </w:r>
    </w:p>
    <w:p w14:paraId="50D3F85D" w14:textId="77777777" w:rsidR="007641F1" w:rsidRPr="007641F1" w:rsidRDefault="007641F1" w:rsidP="007641F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Outside the scope of this policy</w:t>
      </w:r>
    </w:p>
    <w:p w14:paraId="6EEBDABA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5.4 Outcome</w:t>
      </w:r>
    </w:p>
    <w:p w14:paraId="693314B1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A written outcome will normally be issued within </w:t>
      </w:r>
      <w:r w:rsidRPr="007641F1">
        <w:rPr>
          <w:rFonts w:ascii="Aptos" w:eastAsia="Times New Roman" w:hAnsi="Aptos"/>
          <w:b/>
          <w:bCs/>
          <w:lang w:eastAsia="en-GB"/>
        </w:rPr>
        <w:t>20 working days</w:t>
      </w:r>
      <w:r w:rsidRPr="007641F1">
        <w:rPr>
          <w:rFonts w:ascii="Aptos" w:eastAsia="Times New Roman" w:hAnsi="Aptos"/>
          <w:lang w:eastAsia="en-GB"/>
        </w:rPr>
        <w:t>, setting out:</w:t>
      </w:r>
    </w:p>
    <w:p w14:paraId="67ADC5B5" w14:textId="77777777" w:rsidR="007641F1" w:rsidRPr="007641F1" w:rsidRDefault="007641F1" w:rsidP="007641F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The findings</w:t>
      </w:r>
    </w:p>
    <w:p w14:paraId="108690D1" w14:textId="77777777" w:rsidR="007641F1" w:rsidRPr="007641F1" w:rsidRDefault="007641F1" w:rsidP="007641F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Any actions to be taken (if appropriate)</w:t>
      </w:r>
    </w:p>
    <w:p w14:paraId="156E5029" w14:textId="77777777" w:rsidR="007641F1" w:rsidRPr="007641F1" w:rsidRDefault="007641F1" w:rsidP="007641F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The rationale for the decision</w:t>
      </w:r>
    </w:p>
    <w:p w14:paraId="4405EB25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Possible outcomes may include:</w:t>
      </w:r>
    </w:p>
    <w:p w14:paraId="321AB166" w14:textId="77777777" w:rsidR="007641F1" w:rsidRPr="007641F1" w:rsidRDefault="007641F1" w:rsidP="007641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Explanation or clarification</w:t>
      </w:r>
    </w:p>
    <w:p w14:paraId="4514706B" w14:textId="77777777" w:rsidR="007641F1" w:rsidRPr="007641F1" w:rsidRDefault="007641F1" w:rsidP="007641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Apology where appropriate</w:t>
      </w:r>
    </w:p>
    <w:p w14:paraId="3C2994F5" w14:textId="77777777" w:rsidR="007641F1" w:rsidRPr="007641F1" w:rsidRDefault="007641F1" w:rsidP="007641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Service improvement actions</w:t>
      </w:r>
    </w:p>
    <w:p w14:paraId="22445DE9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 xml:space="preserve">Financial refunds, loan write-offs, or compensation are </w:t>
      </w:r>
      <w:proofErr w:type="gramStart"/>
      <w:r w:rsidRPr="007641F1">
        <w:rPr>
          <w:rFonts w:ascii="Aptos" w:eastAsia="Times New Roman" w:hAnsi="Aptos"/>
          <w:b/>
          <w:bCs/>
          <w:lang w:eastAsia="en-GB"/>
        </w:rPr>
        <w:t>not outcomes</w:t>
      </w:r>
      <w:proofErr w:type="gramEnd"/>
      <w:r w:rsidRPr="007641F1">
        <w:rPr>
          <w:rFonts w:ascii="Aptos" w:eastAsia="Times New Roman" w:hAnsi="Aptos"/>
          <w:b/>
          <w:bCs/>
          <w:lang w:eastAsia="en-GB"/>
        </w:rPr>
        <w:t xml:space="preserve"> available under this procedure.</w:t>
      </w:r>
    </w:p>
    <w:p w14:paraId="33D3847E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6. Appeals</w:t>
      </w:r>
    </w:p>
    <w:p w14:paraId="548EAF3D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Where a learner believes the complaints process has not been followed correctly, they may request a review of the procedure followed.</w:t>
      </w:r>
    </w:p>
    <w:p w14:paraId="00E58C5C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An appeal:</w:t>
      </w:r>
    </w:p>
    <w:p w14:paraId="014646B2" w14:textId="77777777" w:rsidR="007641F1" w:rsidRPr="007641F1" w:rsidRDefault="007641F1" w:rsidP="007641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Must be submitted in writing</w:t>
      </w:r>
    </w:p>
    <w:p w14:paraId="0012C0A8" w14:textId="77777777" w:rsidR="007641F1" w:rsidRPr="007641F1" w:rsidRDefault="007641F1" w:rsidP="007641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Must relate to procedural fairness, not disagreement with the outcome</w:t>
      </w:r>
    </w:p>
    <w:p w14:paraId="6A75AF87" w14:textId="77777777" w:rsidR="007641F1" w:rsidRPr="007641F1" w:rsidRDefault="007641F1" w:rsidP="007641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lastRenderedPageBreak/>
        <w:t>Will not reopen matters already fully investigated without new evidence</w:t>
      </w:r>
    </w:p>
    <w:p w14:paraId="3FDBABF9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7. Matters Outside Green Labyrinth’s Authority</w:t>
      </w:r>
    </w:p>
    <w:p w14:paraId="69615655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Where a complaint relates to:</w:t>
      </w:r>
    </w:p>
    <w:p w14:paraId="5639E3C7" w14:textId="77777777" w:rsidR="007641F1" w:rsidRPr="007641F1" w:rsidRDefault="007641F1" w:rsidP="007641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Loan eligibility</w:t>
      </w:r>
    </w:p>
    <w:p w14:paraId="05E42E86" w14:textId="77777777" w:rsidR="007641F1" w:rsidRPr="007641F1" w:rsidRDefault="007641F1" w:rsidP="007641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Loan repayments or interest</w:t>
      </w:r>
    </w:p>
    <w:p w14:paraId="1DD98D5E" w14:textId="77777777" w:rsidR="007641F1" w:rsidRPr="007641F1" w:rsidRDefault="007641F1" w:rsidP="007641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Evidence requirements for fraud</w:t>
      </w:r>
    </w:p>
    <w:p w14:paraId="3E111BF3" w14:textId="77777777" w:rsidR="007641F1" w:rsidRPr="007641F1" w:rsidRDefault="007641F1" w:rsidP="007641F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SLC determinations</w:t>
      </w:r>
    </w:p>
    <w:p w14:paraId="316A1A16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</w:p>
    <w:p w14:paraId="4E778B8B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Learners must use the </w:t>
      </w:r>
      <w:r w:rsidRPr="007641F1">
        <w:rPr>
          <w:rFonts w:ascii="Aptos" w:eastAsia="Times New Roman" w:hAnsi="Aptos"/>
          <w:b/>
          <w:bCs/>
          <w:lang w:eastAsia="en-GB"/>
        </w:rPr>
        <w:t>Student Loans Company Complaints Procedure</w:t>
      </w:r>
      <w:r w:rsidRPr="007641F1">
        <w:rPr>
          <w:rFonts w:ascii="Aptos" w:eastAsia="Times New Roman" w:hAnsi="Aptos"/>
          <w:lang w:eastAsia="en-GB"/>
        </w:rPr>
        <w:t>, as Green Labyrinth has no authority to overturn or amend SLC decisions.</w:t>
      </w:r>
    </w:p>
    <w:p w14:paraId="5B312D42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8. Interaction with Refunds Policy</w:t>
      </w:r>
    </w:p>
    <w:p w14:paraId="08A22E0C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For the avoidance of doubt:</w:t>
      </w:r>
    </w:p>
    <w:p w14:paraId="50CD3982" w14:textId="77777777" w:rsidR="007641F1" w:rsidRPr="007641F1" w:rsidRDefault="007641F1" w:rsidP="007641F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The submission or outcome of a complaint does not create any entitlement to a refund.</w:t>
      </w:r>
    </w:p>
    <w:p w14:paraId="6C23FE13" w14:textId="77777777" w:rsidR="007641F1" w:rsidRPr="007641F1" w:rsidRDefault="007641F1" w:rsidP="007641F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Complaints do not override Green Labyrinth’s </w:t>
      </w:r>
      <w:r w:rsidRPr="007641F1">
        <w:rPr>
          <w:rFonts w:ascii="Aptos" w:eastAsia="Times New Roman" w:hAnsi="Aptos"/>
          <w:b/>
          <w:bCs/>
          <w:lang w:eastAsia="en-GB"/>
        </w:rPr>
        <w:t>Advanced Learner Loan Refunds Policy</w:t>
      </w:r>
      <w:r w:rsidRPr="007641F1">
        <w:rPr>
          <w:rFonts w:ascii="Aptos" w:eastAsia="Times New Roman" w:hAnsi="Aptos"/>
          <w:lang w:eastAsia="en-GB"/>
        </w:rPr>
        <w:t>.</w:t>
      </w:r>
    </w:p>
    <w:p w14:paraId="3BD7148A" w14:textId="77777777" w:rsidR="007641F1" w:rsidRPr="007641F1" w:rsidRDefault="007641F1" w:rsidP="007641F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Any refund or funding adjustment can only occur where directed by the SLC under its rules.</w:t>
      </w:r>
    </w:p>
    <w:p w14:paraId="453BD2DE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9. Statutory Rights</w:t>
      </w:r>
    </w:p>
    <w:p w14:paraId="2315553C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Nothing in this policy is intended to exclude or restrict any statutory rights a learner may have under the Consumer Rights Act 2015 or other applicable consumer protection legislation.</w:t>
      </w:r>
    </w:p>
    <w:p w14:paraId="04739653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In the event of any inconsistency, </w:t>
      </w:r>
      <w:r w:rsidRPr="007641F1">
        <w:rPr>
          <w:rFonts w:ascii="Aptos" w:eastAsia="Times New Roman" w:hAnsi="Aptos"/>
          <w:b/>
          <w:bCs/>
          <w:lang w:eastAsia="en-GB"/>
        </w:rPr>
        <w:t>Student Loans Company rules and determinations shall prevail</w:t>
      </w:r>
      <w:r w:rsidRPr="007641F1">
        <w:rPr>
          <w:rFonts w:ascii="Aptos" w:eastAsia="Times New Roman" w:hAnsi="Aptos"/>
          <w:lang w:eastAsia="en-GB"/>
        </w:rPr>
        <w:t>.</w:t>
      </w:r>
    </w:p>
    <w:p w14:paraId="615A921E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t>10. Policy Review</w:t>
      </w:r>
    </w:p>
    <w:p w14:paraId="6AA469EE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This policy is reviewed annually or sooner if:</w:t>
      </w:r>
    </w:p>
    <w:p w14:paraId="4080B1EB" w14:textId="77777777" w:rsidR="007641F1" w:rsidRPr="007641F1" w:rsidRDefault="007641F1" w:rsidP="007641F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DfE or SLC rules change</w:t>
      </w:r>
    </w:p>
    <w:p w14:paraId="243651C6" w14:textId="77777777" w:rsidR="007641F1" w:rsidRPr="007641F1" w:rsidRDefault="007641F1" w:rsidP="007641F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Funding assurance or audit findings require amendment</w:t>
      </w:r>
    </w:p>
    <w:p w14:paraId="52EBE4C2" w14:textId="77777777" w:rsidR="007641F1" w:rsidRPr="007641F1" w:rsidRDefault="007641F1" w:rsidP="007641F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Legal or regulatory frameworks evolve</w:t>
      </w:r>
    </w:p>
    <w:p w14:paraId="3EB3B96C" w14:textId="77777777" w:rsid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>Responsibility for review rests with senior management.</w:t>
      </w:r>
    </w:p>
    <w:p w14:paraId="620231FB" w14:textId="77777777" w:rsid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</w:p>
    <w:p w14:paraId="1E876299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</w:p>
    <w:p w14:paraId="0FDD4100" w14:textId="77777777" w:rsidR="007641F1" w:rsidRPr="007641F1" w:rsidRDefault="007641F1" w:rsidP="007641F1">
      <w:pPr>
        <w:spacing w:before="100" w:beforeAutospacing="1" w:after="100" w:afterAutospacing="1" w:line="240" w:lineRule="auto"/>
        <w:outlineLvl w:val="1"/>
        <w:rPr>
          <w:rFonts w:ascii="Aptos" w:eastAsia="Times New Roman" w:hAnsi="Aptos"/>
          <w:b/>
          <w:bCs/>
          <w:lang w:eastAsia="en-GB"/>
        </w:rPr>
      </w:pPr>
      <w:r w:rsidRPr="007641F1">
        <w:rPr>
          <w:rFonts w:ascii="Aptos" w:eastAsia="Times New Roman" w:hAnsi="Aptos"/>
          <w:b/>
          <w:bCs/>
          <w:lang w:eastAsia="en-GB"/>
        </w:rPr>
        <w:lastRenderedPageBreak/>
        <w:t>11. Summary Statement</w:t>
      </w:r>
    </w:p>
    <w:p w14:paraId="36134B88" w14:textId="77777777" w:rsidR="007641F1" w:rsidRPr="007641F1" w:rsidRDefault="007641F1" w:rsidP="007641F1">
      <w:pPr>
        <w:spacing w:before="100" w:beforeAutospacing="1" w:after="100" w:afterAutospacing="1" w:line="240" w:lineRule="auto"/>
        <w:rPr>
          <w:rFonts w:ascii="Aptos" w:eastAsia="Times New Roman" w:hAnsi="Aptos"/>
          <w:lang w:eastAsia="en-GB"/>
        </w:rPr>
      </w:pPr>
      <w:r w:rsidRPr="007641F1">
        <w:rPr>
          <w:rFonts w:ascii="Aptos" w:eastAsia="Times New Roman" w:hAnsi="Aptos"/>
          <w:lang w:eastAsia="en-GB"/>
        </w:rPr>
        <w:t xml:space="preserve">Green Labyrinth is committed to resolving complaints fairly and transparently. However, complaints are not a mechanism for altering Advanced Learner Loan liability, which is governed exclusively by the Student Loans Company. This policy ensures procedural fairness while protecting learners, public funds, and the </w:t>
      </w:r>
      <w:proofErr w:type="spellStart"/>
      <w:r w:rsidRPr="007641F1">
        <w:rPr>
          <w:rFonts w:ascii="Aptos" w:eastAsia="Times New Roman" w:hAnsi="Aptos"/>
          <w:lang w:eastAsia="en-GB"/>
        </w:rPr>
        <w:t>organisation’s</w:t>
      </w:r>
      <w:proofErr w:type="spellEnd"/>
      <w:r w:rsidRPr="007641F1">
        <w:rPr>
          <w:rFonts w:ascii="Aptos" w:eastAsia="Times New Roman" w:hAnsi="Aptos"/>
          <w:lang w:eastAsia="en-GB"/>
        </w:rPr>
        <w:t xml:space="preserve"> regulatory position.</w:t>
      </w:r>
    </w:p>
    <w:p w14:paraId="1D457288" w14:textId="77777777" w:rsidR="007641F1" w:rsidRPr="007641F1" w:rsidRDefault="007641F1" w:rsidP="007641F1">
      <w:pPr>
        <w:spacing w:after="0" w:line="240" w:lineRule="auto"/>
        <w:rPr>
          <w:rFonts w:ascii="Aptos" w:eastAsia="Times New Roman" w:hAnsi="Aptos"/>
          <w:lang w:eastAsia="en-GB"/>
        </w:rPr>
      </w:pPr>
    </w:p>
    <w:p w14:paraId="0C4781E2" w14:textId="77777777" w:rsidR="007641F1" w:rsidRPr="007641F1" w:rsidRDefault="007641F1" w:rsidP="007641F1">
      <w:pPr>
        <w:rPr>
          <w:rFonts w:ascii="Aptos" w:hAnsi="Aptos"/>
        </w:rPr>
      </w:pPr>
    </w:p>
    <w:p w14:paraId="3BF75D14" w14:textId="77777777" w:rsidR="00660DD2" w:rsidRPr="007641F1" w:rsidRDefault="00660DD2" w:rsidP="00660DD2">
      <w:pPr>
        <w:rPr>
          <w:rFonts w:ascii="Aptos" w:hAnsi="Aptos"/>
        </w:rPr>
      </w:pPr>
    </w:p>
    <w:p w14:paraId="4EF1931C" w14:textId="19A54DAC" w:rsidR="00D55548" w:rsidRPr="007641F1" w:rsidRDefault="00D55548" w:rsidP="29627BB2">
      <w:pPr>
        <w:spacing w:after="0" w:line="240" w:lineRule="auto"/>
        <w:rPr>
          <w:rFonts w:ascii="Aptos" w:eastAsia="Arial" w:hAnsi="Aptos" w:cs="Arial"/>
          <w:b/>
          <w:bCs/>
          <w:color w:val="000000" w:themeColor="text1"/>
          <w:lang w:val="en-GB"/>
        </w:rPr>
      </w:pPr>
    </w:p>
    <w:p w14:paraId="1A933E7B" w14:textId="77777777" w:rsidR="00660DD2" w:rsidRPr="007641F1" w:rsidRDefault="00660DD2" w:rsidP="29627BB2">
      <w:pPr>
        <w:spacing w:after="0" w:line="240" w:lineRule="auto"/>
        <w:rPr>
          <w:rFonts w:ascii="Aptos" w:eastAsia="Arial" w:hAnsi="Aptos" w:cs="Arial"/>
          <w:b/>
          <w:bCs/>
          <w:color w:val="000000" w:themeColor="text1"/>
          <w:lang w:val="en-GB"/>
        </w:rPr>
      </w:pPr>
    </w:p>
    <w:p w14:paraId="696E1774" w14:textId="77777777" w:rsidR="00660DD2" w:rsidRPr="007641F1" w:rsidRDefault="00660DD2" w:rsidP="29627BB2">
      <w:pPr>
        <w:spacing w:after="0" w:line="240" w:lineRule="auto"/>
        <w:rPr>
          <w:rFonts w:ascii="Aptos" w:eastAsia="Arial" w:hAnsi="Aptos" w:cs="Arial"/>
          <w:b/>
          <w:bCs/>
          <w:color w:val="000000" w:themeColor="text1"/>
          <w:lang w:val="en-GB"/>
        </w:rPr>
      </w:pPr>
    </w:p>
    <w:tbl>
      <w:tblPr>
        <w:tblStyle w:val="TableGrid"/>
        <w:tblW w:w="109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90"/>
        <w:gridCol w:w="1470"/>
        <w:gridCol w:w="2010"/>
        <w:gridCol w:w="4972"/>
      </w:tblGrid>
      <w:tr w:rsidR="29627BB2" w:rsidRPr="007641F1" w14:paraId="60DDE13C" w14:textId="77777777" w:rsidTr="69494B16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BCB5A66" w14:textId="0E03655F" w:rsidR="29627BB2" w:rsidRPr="007641F1" w:rsidRDefault="29627BB2" w:rsidP="29627BB2">
            <w:pPr>
              <w:jc w:val="center"/>
              <w:rPr>
                <w:rFonts w:ascii="Aptos" w:eastAsia="Arial" w:hAnsi="Aptos" w:cs="Arial"/>
              </w:rPr>
            </w:pPr>
            <w:r w:rsidRPr="007641F1">
              <w:rPr>
                <w:rFonts w:ascii="Aptos" w:eastAsia="Arial" w:hAnsi="Aptos" w:cs="Arial"/>
                <w:b/>
                <w:bCs/>
              </w:rPr>
              <w:t>Reviewer</w:t>
            </w:r>
          </w:p>
        </w:tc>
        <w:tc>
          <w:tcPr>
            <w:tcW w:w="14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BCEC3A9" w14:textId="22923964" w:rsidR="29627BB2" w:rsidRPr="007641F1" w:rsidRDefault="7BB74E2A" w:rsidP="69494B16">
            <w:pPr>
              <w:jc w:val="center"/>
              <w:rPr>
                <w:rFonts w:ascii="Aptos" w:eastAsia="Arial" w:hAnsi="Aptos" w:cs="Arial"/>
              </w:rPr>
            </w:pPr>
            <w:r w:rsidRPr="007641F1">
              <w:rPr>
                <w:rFonts w:ascii="Aptos" w:eastAsia="Arial" w:hAnsi="Aptos" w:cs="Arial"/>
                <w:b/>
                <w:bCs/>
              </w:rPr>
              <w:t>Review Date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4DB1B52" w14:textId="559A5747" w:rsidR="29627BB2" w:rsidRPr="007641F1" w:rsidRDefault="29627BB2" w:rsidP="29627BB2">
            <w:pPr>
              <w:jc w:val="center"/>
              <w:rPr>
                <w:rFonts w:ascii="Aptos" w:eastAsia="Arial" w:hAnsi="Aptos" w:cs="Arial"/>
              </w:rPr>
            </w:pPr>
            <w:r w:rsidRPr="007641F1">
              <w:rPr>
                <w:rFonts w:ascii="Aptos" w:eastAsia="Arial" w:hAnsi="Aptos" w:cs="Arial"/>
                <w:b/>
                <w:bCs/>
              </w:rPr>
              <w:t>Amendments Yes/No</w:t>
            </w:r>
          </w:p>
        </w:tc>
        <w:tc>
          <w:tcPr>
            <w:tcW w:w="4972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A85332" w14:textId="2A0B714B" w:rsidR="29627BB2" w:rsidRPr="007641F1" w:rsidRDefault="29627BB2" w:rsidP="29627BB2">
            <w:pPr>
              <w:jc w:val="center"/>
              <w:rPr>
                <w:rFonts w:ascii="Aptos" w:eastAsia="Arial" w:hAnsi="Aptos" w:cs="Arial"/>
              </w:rPr>
            </w:pPr>
            <w:r w:rsidRPr="007641F1">
              <w:rPr>
                <w:rFonts w:ascii="Aptos" w:eastAsia="Arial" w:hAnsi="Aptos" w:cs="Arial"/>
                <w:b/>
                <w:bCs/>
              </w:rPr>
              <w:t xml:space="preserve">Amendments Approved &amp; Date </w:t>
            </w:r>
          </w:p>
        </w:tc>
      </w:tr>
      <w:tr w:rsidR="29627BB2" w:rsidRPr="007641F1" w14:paraId="76B02946" w14:textId="77777777" w:rsidTr="69494B16">
        <w:trPr>
          <w:trHeight w:val="300"/>
        </w:trPr>
        <w:tc>
          <w:tcPr>
            <w:tcW w:w="249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A47A766" w14:textId="1000EEC3" w:rsidR="29627BB2" w:rsidRPr="007641F1" w:rsidRDefault="29627BB2" w:rsidP="69494B16">
            <w:pPr>
              <w:rPr>
                <w:rFonts w:ascii="Aptos" w:eastAsia="Arial" w:hAnsi="Aptos" w:cs="Arial"/>
              </w:rPr>
            </w:pPr>
          </w:p>
        </w:tc>
        <w:tc>
          <w:tcPr>
            <w:tcW w:w="1470" w:type="dxa"/>
            <w:tcMar>
              <w:left w:w="90" w:type="dxa"/>
              <w:right w:w="90" w:type="dxa"/>
            </w:tcMar>
          </w:tcPr>
          <w:p w14:paraId="61149023" w14:textId="0ED46491" w:rsidR="29627BB2" w:rsidRPr="007641F1" w:rsidRDefault="29627BB2" w:rsidP="69494B16">
            <w:pPr>
              <w:rPr>
                <w:rFonts w:ascii="Aptos" w:eastAsia="Arial" w:hAnsi="Aptos" w:cs="Arial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</w:tcPr>
          <w:p w14:paraId="7B6B1A1E" w14:textId="0522CB39" w:rsidR="29627BB2" w:rsidRPr="007641F1" w:rsidRDefault="29627BB2" w:rsidP="69494B16">
            <w:pPr>
              <w:rPr>
                <w:rFonts w:ascii="Aptos" w:eastAsia="Arial" w:hAnsi="Aptos" w:cs="Arial"/>
              </w:rPr>
            </w:pPr>
          </w:p>
        </w:tc>
        <w:tc>
          <w:tcPr>
            <w:tcW w:w="497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E39AFE" w14:textId="22DAF432" w:rsidR="29627BB2" w:rsidRPr="007641F1" w:rsidRDefault="29627BB2" w:rsidP="69494B16">
            <w:pPr>
              <w:rPr>
                <w:rFonts w:ascii="Aptos" w:eastAsia="Arial" w:hAnsi="Aptos" w:cs="Arial"/>
                <w:color w:val="000000" w:themeColor="text1"/>
              </w:rPr>
            </w:pPr>
          </w:p>
        </w:tc>
      </w:tr>
      <w:tr w:rsidR="29627BB2" w:rsidRPr="007641F1" w14:paraId="7CB402D5" w14:textId="77777777" w:rsidTr="69494B16">
        <w:trPr>
          <w:trHeight w:val="300"/>
        </w:trPr>
        <w:tc>
          <w:tcPr>
            <w:tcW w:w="249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E0843FC" w14:textId="1F740EEE" w:rsidR="29627BB2" w:rsidRPr="007641F1" w:rsidRDefault="29627BB2" w:rsidP="29627BB2">
            <w:pPr>
              <w:rPr>
                <w:rFonts w:ascii="Aptos" w:eastAsia="Arial" w:hAnsi="Aptos" w:cs="Arial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D9E570C" w14:textId="417D289E" w:rsidR="29627BB2" w:rsidRPr="007641F1" w:rsidRDefault="29627BB2" w:rsidP="29627BB2">
            <w:pPr>
              <w:rPr>
                <w:rFonts w:ascii="Aptos" w:eastAsia="Arial" w:hAnsi="Aptos" w:cs="Arial"/>
              </w:rPr>
            </w:pPr>
          </w:p>
        </w:tc>
        <w:tc>
          <w:tcPr>
            <w:tcW w:w="20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0C5DD6B" w14:textId="1CBA5FF8" w:rsidR="29627BB2" w:rsidRPr="007641F1" w:rsidRDefault="29627BB2" w:rsidP="29627BB2">
            <w:pPr>
              <w:rPr>
                <w:rFonts w:ascii="Aptos" w:eastAsia="Arial" w:hAnsi="Aptos" w:cs="Arial"/>
              </w:rPr>
            </w:pPr>
          </w:p>
        </w:tc>
        <w:tc>
          <w:tcPr>
            <w:tcW w:w="4972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BDB198" w14:textId="21D6F1D1" w:rsidR="29627BB2" w:rsidRPr="007641F1" w:rsidRDefault="29627BB2" w:rsidP="29627BB2">
            <w:pPr>
              <w:rPr>
                <w:rFonts w:ascii="Aptos" w:eastAsia="Arial" w:hAnsi="Aptos" w:cs="Arial"/>
              </w:rPr>
            </w:pPr>
          </w:p>
        </w:tc>
      </w:tr>
    </w:tbl>
    <w:p w14:paraId="5AAB2643" w14:textId="1C179D46" w:rsidR="69494B16" w:rsidRPr="007641F1" w:rsidRDefault="69494B16" w:rsidP="69494B16">
      <w:pPr>
        <w:rPr>
          <w:rFonts w:ascii="Aptos" w:eastAsia="Arial" w:hAnsi="Aptos" w:cs="Arial"/>
          <w:color w:val="000000" w:themeColor="text1"/>
        </w:rPr>
      </w:pPr>
    </w:p>
    <w:sectPr w:rsidR="69494B16" w:rsidRPr="007641F1" w:rsidSect="00A46BE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647B" w14:textId="77777777" w:rsidR="00A6245E" w:rsidRDefault="00A6245E" w:rsidP="00A46BEA">
      <w:pPr>
        <w:spacing w:after="0" w:line="240" w:lineRule="auto"/>
      </w:pPr>
      <w:r>
        <w:separator/>
      </w:r>
    </w:p>
  </w:endnote>
  <w:endnote w:type="continuationSeparator" w:id="0">
    <w:p w14:paraId="75C5C95A" w14:textId="77777777" w:rsidR="00A6245E" w:rsidRDefault="00A6245E" w:rsidP="00A4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02F" w14:textId="65166BDC" w:rsidR="29627BB2" w:rsidRDefault="29627BB2" w:rsidP="29627BB2">
    <w:pPr>
      <w:pStyle w:val="Footer"/>
      <w:jc w:val="right"/>
      <w:rPr>
        <w:rFonts w:ascii="Arial" w:eastAsia="Arial" w:hAnsi="Arial" w:cs="Arial"/>
      </w:rPr>
    </w:pPr>
    <w:r w:rsidRPr="29627BB2">
      <w:rPr>
        <w:rFonts w:ascii="Arial" w:eastAsia="Arial" w:hAnsi="Arial" w:cs="Arial"/>
      </w:rPr>
      <w:fldChar w:fldCharType="begin"/>
    </w:r>
    <w:r>
      <w:instrText>PAGE</w:instrText>
    </w:r>
    <w:r w:rsidRPr="29627BB2">
      <w:fldChar w:fldCharType="separate"/>
    </w:r>
    <w:r w:rsidR="00660DD2">
      <w:rPr>
        <w:noProof/>
      </w:rPr>
      <w:t>1</w:t>
    </w:r>
    <w:r w:rsidRPr="29627BB2">
      <w:rPr>
        <w:rFonts w:ascii="Arial" w:eastAsia="Arial" w:hAnsi="Arial" w:cs="Arial"/>
      </w:rPr>
      <w:fldChar w:fldCharType="end"/>
    </w:r>
  </w:p>
  <w:tbl>
    <w:tblPr>
      <w:tblStyle w:val="TableGrid"/>
      <w:tblW w:w="0" w:type="auto"/>
      <w:tblInd w:w="36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4200"/>
    </w:tblGrid>
    <w:tr w:rsidR="29627BB2" w14:paraId="6922C2E7" w14:textId="77777777" w:rsidTr="69494B16">
      <w:trPr>
        <w:trHeight w:val="300"/>
      </w:trPr>
      <w:tc>
        <w:tcPr>
          <w:tcW w:w="420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517C71AA" w14:textId="1E25D436" w:rsidR="29627BB2" w:rsidRDefault="69494B16" w:rsidP="69494B16">
          <w:pPr>
            <w:jc w:val="both"/>
            <w:rPr>
              <w:rFonts w:ascii="Arial" w:eastAsia="Arial" w:hAnsi="Arial" w:cs="Arial"/>
              <w:color w:val="000000" w:themeColor="text1"/>
            </w:rPr>
          </w:pPr>
          <w:r w:rsidRPr="69494B16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Author:</w:t>
          </w:r>
          <w:r w:rsidRPr="69494B16">
            <w:rPr>
              <w:rFonts w:ascii="Arial" w:eastAsia="Arial" w:hAnsi="Arial" w:cs="Arial"/>
              <w:color w:val="000000" w:themeColor="text1"/>
              <w:lang w:val="en-GB"/>
            </w:rPr>
            <w:t xml:space="preserve">  </w:t>
          </w:r>
          <w:r w:rsidR="00660DD2">
            <w:rPr>
              <w:rFonts w:ascii="Arial" w:eastAsia="Arial" w:hAnsi="Arial" w:cs="Arial"/>
              <w:color w:val="000000" w:themeColor="text1"/>
              <w:lang w:val="en-GB"/>
            </w:rPr>
            <w:t>B Davis / S Biggs</w:t>
          </w:r>
        </w:p>
      </w:tc>
    </w:tr>
    <w:tr w:rsidR="29627BB2" w14:paraId="5A7891A4" w14:textId="77777777" w:rsidTr="69494B16">
      <w:trPr>
        <w:trHeight w:val="300"/>
      </w:trPr>
      <w:tc>
        <w:tcPr>
          <w:tcW w:w="4200" w:type="dxa"/>
          <w:tcBorders>
            <w:left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3A0B0327" w14:textId="795CE0AA" w:rsidR="29627BB2" w:rsidRDefault="69494B16" w:rsidP="69494B16">
          <w:pPr>
            <w:jc w:val="both"/>
            <w:rPr>
              <w:rFonts w:ascii="Arial" w:eastAsia="Arial" w:hAnsi="Arial" w:cs="Arial"/>
              <w:color w:val="000000" w:themeColor="text1"/>
              <w:lang w:val="en-GB"/>
            </w:rPr>
          </w:pPr>
          <w:r w:rsidRPr="69494B16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Version/Date:</w:t>
          </w:r>
          <w:r w:rsidRPr="69494B16">
            <w:rPr>
              <w:rFonts w:ascii="Arial" w:eastAsia="Arial" w:hAnsi="Arial" w:cs="Arial"/>
              <w:color w:val="000000" w:themeColor="text1"/>
              <w:lang w:val="en-GB"/>
            </w:rPr>
            <w:t xml:space="preserve">  </w:t>
          </w:r>
          <w:r w:rsidR="00660DD2">
            <w:rPr>
              <w:rFonts w:ascii="Arial" w:eastAsia="Arial" w:hAnsi="Arial" w:cs="Arial"/>
              <w:color w:val="000000" w:themeColor="text1"/>
              <w:lang w:val="en-GB"/>
            </w:rPr>
            <w:t>18.12.2025</w:t>
          </w:r>
        </w:p>
      </w:tc>
    </w:tr>
    <w:tr w:rsidR="29627BB2" w14:paraId="0C0B867F" w14:textId="77777777" w:rsidTr="69494B16">
      <w:trPr>
        <w:trHeight w:val="300"/>
      </w:trPr>
      <w:tc>
        <w:tcPr>
          <w:tcW w:w="420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left w:w="90" w:type="dxa"/>
            <w:right w:w="90" w:type="dxa"/>
          </w:tcMar>
        </w:tcPr>
        <w:p w14:paraId="2C91CF30" w14:textId="4EF7B5A9" w:rsidR="29627BB2" w:rsidRDefault="69494B16" w:rsidP="69494B16">
          <w:pPr>
            <w:jc w:val="both"/>
            <w:rPr>
              <w:rFonts w:ascii="Arial" w:eastAsia="Arial" w:hAnsi="Arial" w:cs="Arial"/>
              <w:color w:val="000000" w:themeColor="text1"/>
            </w:rPr>
          </w:pPr>
          <w:r w:rsidRPr="69494B16">
            <w:rPr>
              <w:rFonts w:ascii="Arial" w:eastAsia="Arial" w:hAnsi="Arial" w:cs="Arial"/>
              <w:b/>
              <w:bCs/>
              <w:color w:val="000000" w:themeColor="text1"/>
              <w:lang w:val="en-GB"/>
            </w:rPr>
            <w:t>Review Date:</w:t>
          </w:r>
          <w:r w:rsidRPr="69494B16">
            <w:rPr>
              <w:rFonts w:ascii="Arial" w:eastAsia="Arial" w:hAnsi="Arial" w:cs="Arial"/>
              <w:color w:val="000000" w:themeColor="text1"/>
              <w:lang w:val="en-GB"/>
            </w:rPr>
            <w:t xml:space="preserve"> </w:t>
          </w:r>
          <w:r w:rsidR="00660DD2">
            <w:rPr>
              <w:rFonts w:ascii="Arial" w:eastAsia="Arial" w:hAnsi="Arial" w:cs="Arial"/>
              <w:color w:val="000000" w:themeColor="text1"/>
              <w:lang w:val="en-GB"/>
            </w:rPr>
            <w:t>18.12.2025</w:t>
          </w:r>
        </w:p>
      </w:tc>
    </w:tr>
  </w:tbl>
  <w:p w14:paraId="1DBC4374" w14:textId="3B3ED08C" w:rsidR="29627BB2" w:rsidRDefault="29627BB2" w:rsidP="69494B16">
    <w:pPr>
      <w:pStyle w:val="Footer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C2F3" w14:textId="77777777" w:rsidR="00A6245E" w:rsidRDefault="00A6245E" w:rsidP="00A46BEA">
      <w:pPr>
        <w:spacing w:after="0" w:line="240" w:lineRule="auto"/>
      </w:pPr>
      <w:r>
        <w:separator/>
      </w:r>
    </w:p>
  </w:footnote>
  <w:footnote w:type="continuationSeparator" w:id="0">
    <w:p w14:paraId="46CC9E42" w14:textId="77777777" w:rsidR="00A6245E" w:rsidRDefault="00A6245E" w:rsidP="00A4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C4D7" w14:textId="77777777" w:rsidR="00A46BEA" w:rsidRDefault="00CE5819" w:rsidP="29627BB2">
    <w:pPr>
      <w:pStyle w:val="Header"/>
      <w:jc w:val="right"/>
      <w:rPr>
        <w:b/>
        <w:bCs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F2ECA70" wp14:editId="0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47825" cy="730250"/>
          <wp:effectExtent l="0" t="0" r="9525" b="0"/>
          <wp:wrapTight wrapText="bothSides">
            <wp:wrapPolygon edited="0">
              <wp:start x="0" y="0"/>
              <wp:lineTo x="0" y="20849"/>
              <wp:lineTo x="21475" y="20849"/>
              <wp:lineTo x="214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DED"/>
    <w:multiLevelType w:val="hybridMultilevel"/>
    <w:tmpl w:val="F1F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8D0"/>
    <w:multiLevelType w:val="multilevel"/>
    <w:tmpl w:val="A7B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C1E4D"/>
    <w:multiLevelType w:val="hybridMultilevel"/>
    <w:tmpl w:val="29D676B2"/>
    <w:lvl w:ilvl="0" w:tplc="0E08BD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480B"/>
    <w:multiLevelType w:val="multilevel"/>
    <w:tmpl w:val="97DC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EEF8F8"/>
    <w:multiLevelType w:val="hybridMultilevel"/>
    <w:tmpl w:val="5FCC6D4E"/>
    <w:lvl w:ilvl="0" w:tplc="C9E4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CA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6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4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E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2B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7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06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E5A06"/>
    <w:multiLevelType w:val="multilevel"/>
    <w:tmpl w:val="DB4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61B23"/>
    <w:multiLevelType w:val="multilevel"/>
    <w:tmpl w:val="7BE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21895"/>
    <w:multiLevelType w:val="hybridMultilevel"/>
    <w:tmpl w:val="A43E52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D05"/>
    <w:multiLevelType w:val="multilevel"/>
    <w:tmpl w:val="FE6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D6CEA"/>
    <w:multiLevelType w:val="hybridMultilevel"/>
    <w:tmpl w:val="80303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719A9"/>
    <w:multiLevelType w:val="multilevel"/>
    <w:tmpl w:val="529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93EE6"/>
    <w:multiLevelType w:val="hybridMultilevel"/>
    <w:tmpl w:val="251A9994"/>
    <w:lvl w:ilvl="0" w:tplc="A12482CA">
      <w:start w:val="179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694D"/>
    <w:multiLevelType w:val="hybridMultilevel"/>
    <w:tmpl w:val="D40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517C"/>
    <w:multiLevelType w:val="hybridMultilevel"/>
    <w:tmpl w:val="76E0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37D36"/>
    <w:multiLevelType w:val="hybridMultilevel"/>
    <w:tmpl w:val="FF50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F4407"/>
    <w:multiLevelType w:val="multilevel"/>
    <w:tmpl w:val="FAA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D7482"/>
    <w:multiLevelType w:val="hybridMultilevel"/>
    <w:tmpl w:val="F294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63238"/>
    <w:multiLevelType w:val="multilevel"/>
    <w:tmpl w:val="889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1CE10"/>
    <w:multiLevelType w:val="hybridMultilevel"/>
    <w:tmpl w:val="828EEF3C"/>
    <w:lvl w:ilvl="0" w:tplc="5DA61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AB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CD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AE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86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24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C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6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E7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D9B"/>
    <w:multiLevelType w:val="hybridMultilevel"/>
    <w:tmpl w:val="596E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A51BE"/>
    <w:multiLevelType w:val="hybridMultilevel"/>
    <w:tmpl w:val="36E0B1D2"/>
    <w:lvl w:ilvl="0" w:tplc="AA62F7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ECD"/>
    <w:multiLevelType w:val="multilevel"/>
    <w:tmpl w:val="4024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D6F68"/>
    <w:multiLevelType w:val="multilevel"/>
    <w:tmpl w:val="4E72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2137D"/>
    <w:multiLevelType w:val="multilevel"/>
    <w:tmpl w:val="BC9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935F6"/>
    <w:multiLevelType w:val="hybridMultilevel"/>
    <w:tmpl w:val="9CF62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C4455"/>
    <w:multiLevelType w:val="hybridMultilevel"/>
    <w:tmpl w:val="253CCD46"/>
    <w:lvl w:ilvl="0" w:tplc="A0289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767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0D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6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2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AB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4F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5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333C5"/>
    <w:multiLevelType w:val="multilevel"/>
    <w:tmpl w:val="AFD4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92055"/>
    <w:multiLevelType w:val="hybridMultilevel"/>
    <w:tmpl w:val="F47A8406"/>
    <w:lvl w:ilvl="0" w:tplc="0E08BD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45696"/>
    <w:multiLevelType w:val="hybridMultilevel"/>
    <w:tmpl w:val="E5F6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1096"/>
    <w:multiLevelType w:val="hybridMultilevel"/>
    <w:tmpl w:val="67549EA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659F525F"/>
    <w:multiLevelType w:val="multilevel"/>
    <w:tmpl w:val="AEF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E69BFC"/>
    <w:multiLevelType w:val="multilevel"/>
    <w:tmpl w:val="BEC07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526EF"/>
    <w:multiLevelType w:val="hybridMultilevel"/>
    <w:tmpl w:val="D6E8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F2C72"/>
    <w:multiLevelType w:val="hybridMultilevel"/>
    <w:tmpl w:val="9C86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C723C"/>
    <w:multiLevelType w:val="hybridMultilevel"/>
    <w:tmpl w:val="5106B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E4696"/>
    <w:multiLevelType w:val="hybridMultilevel"/>
    <w:tmpl w:val="6C26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C1E74"/>
    <w:multiLevelType w:val="hybridMultilevel"/>
    <w:tmpl w:val="6FE2B2CC"/>
    <w:lvl w:ilvl="0" w:tplc="D9344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88A6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26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AE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87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4A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4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0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47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91767"/>
    <w:multiLevelType w:val="multilevel"/>
    <w:tmpl w:val="01D2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06E6F"/>
    <w:multiLevelType w:val="hybridMultilevel"/>
    <w:tmpl w:val="D07C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B1207"/>
    <w:multiLevelType w:val="multilevel"/>
    <w:tmpl w:val="814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55E25"/>
    <w:multiLevelType w:val="multilevel"/>
    <w:tmpl w:val="045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DC7912"/>
    <w:multiLevelType w:val="hybridMultilevel"/>
    <w:tmpl w:val="D67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6682F"/>
    <w:multiLevelType w:val="hybridMultilevel"/>
    <w:tmpl w:val="374EFB76"/>
    <w:lvl w:ilvl="0" w:tplc="50DA2510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14A7E"/>
    <w:multiLevelType w:val="multilevel"/>
    <w:tmpl w:val="27E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52A5E"/>
    <w:multiLevelType w:val="hybridMultilevel"/>
    <w:tmpl w:val="0196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84828">
    <w:abstractNumId w:val="18"/>
  </w:num>
  <w:num w:numId="2" w16cid:durableId="367267967">
    <w:abstractNumId w:val="4"/>
  </w:num>
  <w:num w:numId="3" w16cid:durableId="2018194536">
    <w:abstractNumId w:val="36"/>
  </w:num>
  <w:num w:numId="4" w16cid:durableId="401023755">
    <w:abstractNumId w:val="25"/>
  </w:num>
  <w:num w:numId="5" w16cid:durableId="1847746036">
    <w:abstractNumId w:val="31"/>
  </w:num>
  <w:num w:numId="6" w16cid:durableId="821388831">
    <w:abstractNumId w:val="0"/>
  </w:num>
  <w:num w:numId="7" w16cid:durableId="1894272952">
    <w:abstractNumId w:val="38"/>
  </w:num>
  <w:num w:numId="8" w16cid:durableId="995568014">
    <w:abstractNumId w:val="7"/>
  </w:num>
  <w:num w:numId="9" w16cid:durableId="1018388443">
    <w:abstractNumId w:val="29"/>
  </w:num>
  <w:num w:numId="10" w16cid:durableId="2142459956">
    <w:abstractNumId w:val="42"/>
  </w:num>
  <w:num w:numId="11" w16cid:durableId="1592162358">
    <w:abstractNumId w:val="11"/>
  </w:num>
  <w:num w:numId="12" w16cid:durableId="1118842349">
    <w:abstractNumId w:val="3"/>
  </w:num>
  <w:num w:numId="13" w16cid:durableId="1764954931">
    <w:abstractNumId w:val="32"/>
  </w:num>
  <w:num w:numId="14" w16cid:durableId="382290339">
    <w:abstractNumId w:val="24"/>
  </w:num>
  <w:num w:numId="15" w16cid:durableId="478301319">
    <w:abstractNumId w:val="33"/>
  </w:num>
  <w:num w:numId="16" w16cid:durableId="1233347923">
    <w:abstractNumId w:val="14"/>
  </w:num>
  <w:num w:numId="17" w16cid:durableId="1268926164">
    <w:abstractNumId w:val="20"/>
  </w:num>
  <w:num w:numId="18" w16cid:durableId="536546350">
    <w:abstractNumId w:val="41"/>
  </w:num>
  <w:num w:numId="19" w16cid:durableId="673997321">
    <w:abstractNumId w:val="28"/>
  </w:num>
  <w:num w:numId="20" w16cid:durableId="2065791664">
    <w:abstractNumId w:val="44"/>
  </w:num>
  <w:num w:numId="21" w16cid:durableId="1110274925">
    <w:abstractNumId w:val="13"/>
  </w:num>
  <w:num w:numId="22" w16cid:durableId="2064328970">
    <w:abstractNumId w:val="12"/>
  </w:num>
  <w:num w:numId="23" w16cid:durableId="1043866067">
    <w:abstractNumId w:val="19"/>
  </w:num>
  <w:num w:numId="24" w16cid:durableId="486629867">
    <w:abstractNumId w:val="34"/>
  </w:num>
  <w:num w:numId="25" w16cid:durableId="1897204493">
    <w:abstractNumId w:val="16"/>
  </w:num>
  <w:num w:numId="26" w16cid:durableId="966399170">
    <w:abstractNumId w:val="9"/>
  </w:num>
  <w:num w:numId="27" w16cid:durableId="1872498176">
    <w:abstractNumId w:val="27"/>
  </w:num>
  <w:num w:numId="28" w16cid:durableId="1169176730">
    <w:abstractNumId w:val="2"/>
  </w:num>
  <w:num w:numId="29" w16cid:durableId="1263995937">
    <w:abstractNumId w:val="35"/>
  </w:num>
  <w:num w:numId="30" w16cid:durableId="576013906">
    <w:abstractNumId w:val="21"/>
  </w:num>
  <w:num w:numId="31" w16cid:durableId="1577980332">
    <w:abstractNumId w:val="40"/>
  </w:num>
  <w:num w:numId="32" w16cid:durableId="2052222197">
    <w:abstractNumId w:val="6"/>
  </w:num>
  <w:num w:numId="33" w16cid:durableId="1948542883">
    <w:abstractNumId w:val="15"/>
  </w:num>
  <w:num w:numId="34" w16cid:durableId="1841385556">
    <w:abstractNumId w:val="8"/>
  </w:num>
  <w:num w:numId="35" w16cid:durableId="1636061038">
    <w:abstractNumId w:val="39"/>
  </w:num>
  <w:num w:numId="36" w16cid:durableId="1443499597">
    <w:abstractNumId w:val="43"/>
  </w:num>
  <w:num w:numId="37" w16cid:durableId="486938659">
    <w:abstractNumId w:val="22"/>
  </w:num>
  <w:num w:numId="38" w16cid:durableId="936328467">
    <w:abstractNumId w:val="10"/>
  </w:num>
  <w:num w:numId="39" w16cid:durableId="2121873067">
    <w:abstractNumId w:val="23"/>
  </w:num>
  <w:num w:numId="40" w16cid:durableId="324480463">
    <w:abstractNumId w:val="1"/>
  </w:num>
  <w:num w:numId="41" w16cid:durableId="1928296798">
    <w:abstractNumId w:val="5"/>
  </w:num>
  <w:num w:numId="42" w16cid:durableId="1011680036">
    <w:abstractNumId w:val="26"/>
  </w:num>
  <w:num w:numId="43" w16cid:durableId="920676304">
    <w:abstractNumId w:val="17"/>
  </w:num>
  <w:num w:numId="44" w16cid:durableId="1273633078">
    <w:abstractNumId w:val="37"/>
  </w:num>
  <w:num w:numId="45" w16cid:durableId="3460545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EA"/>
    <w:rsid w:val="00012D88"/>
    <w:rsid w:val="00074F04"/>
    <w:rsid w:val="000E02BB"/>
    <w:rsid w:val="001403B9"/>
    <w:rsid w:val="001661A8"/>
    <w:rsid w:val="001E36DD"/>
    <w:rsid w:val="0026591C"/>
    <w:rsid w:val="00346C21"/>
    <w:rsid w:val="003C2896"/>
    <w:rsid w:val="003C45CB"/>
    <w:rsid w:val="003F14F5"/>
    <w:rsid w:val="00400F70"/>
    <w:rsid w:val="00470D9E"/>
    <w:rsid w:val="004BB7D8"/>
    <w:rsid w:val="004C35D1"/>
    <w:rsid w:val="004D7E3D"/>
    <w:rsid w:val="00517DB5"/>
    <w:rsid w:val="00535474"/>
    <w:rsid w:val="00546C38"/>
    <w:rsid w:val="00556C6A"/>
    <w:rsid w:val="005919CA"/>
    <w:rsid w:val="005F79FC"/>
    <w:rsid w:val="0062427E"/>
    <w:rsid w:val="00626B9F"/>
    <w:rsid w:val="00636665"/>
    <w:rsid w:val="00637534"/>
    <w:rsid w:val="00647DB7"/>
    <w:rsid w:val="00652E1A"/>
    <w:rsid w:val="00653B7F"/>
    <w:rsid w:val="0066027D"/>
    <w:rsid w:val="00660DD2"/>
    <w:rsid w:val="00672656"/>
    <w:rsid w:val="006B1BC2"/>
    <w:rsid w:val="006B20EF"/>
    <w:rsid w:val="006E694D"/>
    <w:rsid w:val="006F43B9"/>
    <w:rsid w:val="00700CB1"/>
    <w:rsid w:val="00704BE5"/>
    <w:rsid w:val="00747A5D"/>
    <w:rsid w:val="007641F1"/>
    <w:rsid w:val="007A224F"/>
    <w:rsid w:val="007B29C5"/>
    <w:rsid w:val="007D7D0C"/>
    <w:rsid w:val="00834616"/>
    <w:rsid w:val="00850075"/>
    <w:rsid w:val="008743F1"/>
    <w:rsid w:val="008E16D2"/>
    <w:rsid w:val="008E5CE7"/>
    <w:rsid w:val="008F2691"/>
    <w:rsid w:val="008F5653"/>
    <w:rsid w:val="00922F01"/>
    <w:rsid w:val="00936708"/>
    <w:rsid w:val="0096392E"/>
    <w:rsid w:val="00975C81"/>
    <w:rsid w:val="009B42C0"/>
    <w:rsid w:val="009C4451"/>
    <w:rsid w:val="009E5397"/>
    <w:rsid w:val="00A13B0F"/>
    <w:rsid w:val="00A3697E"/>
    <w:rsid w:val="00A46BEA"/>
    <w:rsid w:val="00A5415D"/>
    <w:rsid w:val="00A6245E"/>
    <w:rsid w:val="00AC2CD8"/>
    <w:rsid w:val="00AE24D5"/>
    <w:rsid w:val="00B30932"/>
    <w:rsid w:val="00B634E9"/>
    <w:rsid w:val="00BB08B0"/>
    <w:rsid w:val="00C32423"/>
    <w:rsid w:val="00C65ABC"/>
    <w:rsid w:val="00CC35F6"/>
    <w:rsid w:val="00CE40CB"/>
    <w:rsid w:val="00CE5819"/>
    <w:rsid w:val="00D454C8"/>
    <w:rsid w:val="00D55548"/>
    <w:rsid w:val="00D87FE0"/>
    <w:rsid w:val="00DC5609"/>
    <w:rsid w:val="00E26DC8"/>
    <w:rsid w:val="00E67F1E"/>
    <w:rsid w:val="00EB1C03"/>
    <w:rsid w:val="00EB3CFE"/>
    <w:rsid w:val="00EC0AB0"/>
    <w:rsid w:val="014E4197"/>
    <w:rsid w:val="040A33C9"/>
    <w:rsid w:val="04475C00"/>
    <w:rsid w:val="05A5D161"/>
    <w:rsid w:val="05A9337D"/>
    <w:rsid w:val="05D9034C"/>
    <w:rsid w:val="05E3707E"/>
    <w:rsid w:val="06012629"/>
    <w:rsid w:val="06D87F6E"/>
    <w:rsid w:val="08C9648E"/>
    <w:rsid w:val="090118EA"/>
    <w:rsid w:val="0975616E"/>
    <w:rsid w:val="09CCB0BF"/>
    <w:rsid w:val="0ACE4F69"/>
    <w:rsid w:val="0AEE0F48"/>
    <w:rsid w:val="0C2A9F89"/>
    <w:rsid w:val="0C2D8368"/>
    <w:rsid w:val="0C48F034"/>
    <w:rsid w:val="0C5FB07F"/>
    <w:rsid w:val="0D5783D4"/>
    <w:rsid w:val="0D8E45E9"/>
    <w:rsid w:val="0DC1D5B7"/>
    <w:rsid w:val="0DC5275A"/>
    <w:rsid w:val="0E46CA8D"/>
    <w:rsid w:val="0E67B64A"/>
    <w:rsid w:val="10D6551E"/>
    <w:rsid w:val="1130DBA8"/>
    <w:rsid w:val="12961A87"/>
    <w:rsid w:val="134C6AE3"/>
    <w:rsid w:val="14350AA4"/>
    <w:rsid w:val="17217469"/>
    <w:rsid w:val="17635512"/>
    <w:rsid w:val="17D78AC0"/>
    <w:rsid w:val="1A405F4C"/>
    <w:rsid w:val="1A61A976"/>
    <w:rsid w:val="1C6FF44B"/>
    <w:rsid w:val="1D6B7C84"/>
    <w:rsid w:val="1F4BA976"/>
    <w:rsid w:val="1F4FCA2D"/>
    <w:rsid w:val="1FBF6E14"/>
    <w:rsid w:val="20061EC7"/>
    <w:rsid w:val="204702DB"/>
    <w:rsid w:val="217C1AB3"/>
    <w:rsid w:val="21DC0095"/>
    <w:rsid w:val="220C7788"/>
    <w:rsid w:val="22C0E194"/>
    <w:rsid w:val="235C2B6B"/>
    <w:rsid w:val="23686E36"/>
    <w:rsid w:val="23B09002"/>
    <w:rsid w:val="23BA42B2"/>
    <w:rsid w:val="23CA1F2B"/>
    <w:rsid w:val="23D192F0"/>
    <w:rsid w:val="23D74D2B"/>
    <w:rsid w:val="2418F01E"/>
    <w:rsid w:val="246BB93E"/>
    <w:rsid w:val="25A81D5F"/>
    <w:rsid w:val="27582734"/>
    <w:rsid w:val="27972D50"/>
    <w:rsid w:val="28AF24F6"/>
    <w:rsid w:val="28C0ECE0"/>
    <w:rsid w:val="29627BB2"/>
    <w:rsid w:val="2A9AF2B4"/>
    <w:rsid w:val="2AEEF027"/>
    <w:rsid w:val="2B0BFC9B"/>
    <w:rsid w:val="2B618E57"/>
    <w:rsid w:val="2BA933C2"/>
    <w:rsid w:val="2C4CCD44"/>
    <w:rsid w:val="2CF12C2B"/>
    <w:rsid w:val="2D7D8A84"/>
    <w:rsid w:val="2EA9B3AE"/>
    <w:rsid w:val="2FAE5881"/>
    <w:rsid w:val="2FF95212"/>
    <w:rsid w:val="306143D6"/>
    <w:rsid w:val="3070D1E8"/>
    <w:rsid w:val="30940F08"/>
    <w:rsid w:val="31F0775B"/>
    <w:rsid w:val="31F4EC48"/>
    <w:rsid w:val="3253F543"/>
    <w:rsid w:val="32848B3A"/>
    <w:rsid w:val="331F6F55"/>
    <w:rsid w:val="33849542"/>
    <w:rsid w:val="33C7B688"/>
    <w:rsid w:val="346535BC"/>
    <w:rsid w:val="357613B9"/>
    <w:rsid w:val="362A1501"/>
    <w:rsid w:val="37613987"/>
    <w:rsid w:val="38A4CED5"/>
    <w:rsid w:val="38EEB60B"/>
    <w:rsid w:val="38FD11E4"/>
    <w:rsid w:val="38FD2073"/>
    <w:rsid w:val="3922CD2B"/>
    <w:rsid w:val="39756CF2"/>
    <w:rsid w:val="397EFA87"/>
    <w:rsid w:val="3A30B429"/>
    <w:rsid w:val="3D31A189"/>
    <w:rsid w:val="3E340DC2"/>
    <w:rsid w:val="3EE5907A"/>
    <w:rsid w:val="3F029C2B"/>
    <w:rsid w:val="3F6139F5"/>
    <w:rsid w:val="4130CA1B"/>
    <w:rsid w:val="4218EA81"/>
    <w:rsid w:val="42404598"/>
    <w:rsid w:val="4292F30E"/>
    <w:rsid w:val="42DB1B63"/>
    <w:rsid w:val="42E810A8"/>
    <w:rsid w:val="430BA8AE"/>
    <w:rsid w:val="43223001"/>
    <w:rsid w:val="43E0483C"/>
    <w:rsid w:val="442D8E93"/>
    <w:rsid w:val="4489B106"/>
    <w:rsid w:val="46068FBC"/>
    <w:rsid w:val="460EB4F9"/>
    <w:rsid w:val="46F4D441"/>
    <w:rsid w:val="47FFEB2D"/>
    <w:rsid w:val="48E2A997"/>
    <w:rsid w:val="49187DFE"/>
    <w:rsid w:val="49AC40AD"/>
    <w:rsid w:val="49D1E376"/>
    <w:rsid w:val="4AD57125"/>
    <w:rsid w:val="4B1920AD"/>
    <w:rsid w:val="4B8E045D"/>
    <w:rsid w:val="4BD1A6D4"/>
    <w:rsid w:val="4C589828"/>
    <w:rsid w:val="4D3C3DC8"/>
    <w:rsid w:val="4DFE16F7"/>
    <w:rsid w:val="4E52BD33"/>
    <w:rsid w:val="4E7162B5"/>
    <w:rsid w:val="4F332178"/>
    <w:rsid w:val="508A6A1B"/>
    <w:rsid w:val="51D10D65"/>
    <w:rsid w:val="52B637AA"/>
    <w:rsid w:val="52D0791B"/>
    <w:rsid w:val="530DAE6F"/>
    <w:rsid w:val="53CB8FC0"/>
    <w:rsid w:val="548A046E"/>
    <w:rsid w:val="55CDFF32"/>
    <w:rsid w:val="57593606"/>
    <w:rsid w:val="5790DE07"/>
    <w:rsid w:val="57B484F6"/>
    <w:rsid w:val="580612EE"/>
    <w:rsid w:val="58AD2DD0"/>
    <w:rsid w:val="59227728"/>
    <w:rsid w:val="5A2EAAC5"/>
    <w:rsid w:val="5B33B0FD"/>
    <w:rsid w:val="5BFCB2E9"/>
    <w:rsid w:val="5C5B4B86"/>
    <w:rsid w:val="5C5FE806"/>
    <w:rsid w:val="5D2F7884"/>
    <w:rsid w:val="5D80127E"/>
    <w:rsid w:val="5E564824"/>
    <w:rsid w:val="5EA574B7"/>
    <w:rsid w:val="5EC087CB"/>
    <w:rsid w:val="60177FD3"/>
    <w:rsid w:val="60291132"/>
    <w:rsid w:val="60333FB8"/>
    <w:rsid w:val="60D13102"/>
    <w:rsid w:val="60F8A931"/>
    <w:rsid w:val="614E02F2"/>
    <w:rsid w:val="63AB00AB"/>
    <w:rsid w:val="640DD9A1"/>
    <w:rsid w:val="64272FE3"/>
    <w:rsid w:val="650BEE23"/>
    <w:rsid w:val="6585A48A"/>
    <w:rsid w:val="65A0A977"/>
    <w:rsid w:val="65DAB856"/>
    <w:rsid w:val="66408391"/>
    <w:rsid w:val="68098C02"/>
    <w:rsid w:val="6826A01F"/>
    <w:rsid w:val="68CFC7AC"/>
    <w:rsid w:val="69494B16"/>
    <w:rsid w:val="6998C674"/>
    <w:rsid w:val="6AFAB010"/>
    <w:rsid w:val="6B1CDE20"/>
    <w:rsid w:val="6B8B5524"/>
    <w:rsid w:val="6C4F0CE7"/>
    <w:rsid w:val="6C54D820"/>
    <w:rsid w:val="6C86083C"/>
    <w:rsid w:val="6CE2DB97"/>
    <w:rsid w:val="6F56C7BC"/>
    <w:rsid w:val="6F91CEF6"/>
    <w:rsid w:val="6F994BD3"/>
    <w:rsid w:val="70E7BA7E"/>
    <w:rsid w:val="7170FDCE"/>
    <w:rsid w:val="72212303"/>
    <w:rsid w:val="724FC16E"/>
    <w:rsid w:val="725B7966"/>
    <w:rsid w:val="72BBD7AB"/>
    <w:rsid w:val="73E0F625"/>
    <w:rsid w:val="73F19223"/>
    <w:rsid w:val="74229E99"/>
    <w:rsid w:val="74AF1979"/>
    <w:rsid w:val="74D54E00"/>
    <w:rsid w:val="74DA5499"/>
    <w:rsid w:val="75C97A11"/>
    <w:rsid w:val="764D2106"/>
    <w:rsid w:val="76621370"/>
    <w:rsid w:val="76775266"/>
    <w:rsid w:val="782B7919"/>
    <w:rsid w:val="78352BC0"/>
    <w:rsid w:val="78E717DB"/>
    <w:rsid w:val="7A368641"/>
    <w:rsid w:val="7A48B912"/>
    <w:rsid w:val="7A65C7FF"/>
    <w:rsid w:val="7A6D6F79"/>
    <w:rsid w:val="7BB74E2A"/>
    <w:rsid w:val="7BEC8533"/>
    <w:rsid w:val="7BFC6B6A"/>
    <w:rsid w:val="7D209E8A"/>
    <w:rsid w:val="7DC85535"/>
    <w:rsid w:val="7E04260D"/>
    <w:rsid w:val="7E10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8745"/>
  <w15:chartTrackingRefBased/>
  <w15:docId w15:val="{0CA49CAB-9AD0-4EB7-8353-5EB7E2A8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54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5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5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EA"/>
  </w:style>
  <w:style w:type="paragraph" w:styleId="Footer">
    <w:name w:val="footer"/>
    <w:basedOn w:val="Normal"/>
    <w:link w:val="FooterChar"/>
    <w:uiPriority w:val="99"/>
    <w:unhideWhenUsed/>
    <w:rsid w:val="00A4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EA"/>
  </w:style>
  <w:style w:type="paragraph" w:styleId="ListParagraph">
    <w:name w:val="List Paragraph"/>
    <w:basedOn w:val="Normal"/>
    <w:uiPriority w:val="34"/>
    <w:qFormat/>
    <w:rsid w:val="001403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55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5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5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rsid w:val="00D55548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55548"/>
    <w:pPr>
      <w:spacing w:after="120" w:line="480" w:lineRule="auto"/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55548"/>
    <w:rPr>
      <w:rFonts w:asciiTheme="minorHAnsi" w:eastAsiaTheme="minorEastAsia" w:hAnsiTheme="minorHAnsi" w:cstheme="minorBid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B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CA499DD28B3489CE93BC79F5117D9" ma:contentTypeVersion="13" ma:contentTypeDescription="Create a new document." ma:contentTypeScope="" ma:versionID="d109a22d0c50b8b11eab5cfb2983c2fc">
  <xsd:schema xmlns:xsd="http://www.w3.org/2001/XMLSchema" xmlns:xs="http://www.w3.org/2001/XMLSchema" xmlns:p="http://schemas.microsoft.com/office/2006/metadata/properties" xmlns:ns2="bed4ee53-0cc7-423a-b393-45e5095a1399" xmlns:ns3="421f4131-b2ef-4469-bff2-eb2a59e276ff" targetNamespace="http://schemas.microsoft.com/office/2006/metadata/properties" ma:root="true" ma:fieldsID="e5d82de5682dd017dcbb0d0ee2491aea" ns2:_="" ns3:_="">
    <xsd:import namespace="bed4ee53-0cc7-423a-b393-45e5095a1399"/>
    <xsd:import namespace="421f4131-b2ef-4469-bff2-eb2a59e27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ee53-0cc7-423a-b393-45e5095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076574-7664-4c94-8f8b-c1187f363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4131-b2ef-4469-bff2-eb2a59e27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029b15-3516-4eef-aff8-23a6f603912c}" ma:internalName="TaxCatchAll" ma:showField="CatchAllData" ma:web="421f4131-b2ef-4469-bff2-eb2a59e27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4ee53-0cc7-423a-b393-45e5095a1399">
      <Terms xmlns="http://schemas.microsoft.com/office/infopath/2007/PartnerControls"/>
    </lcf76f155ced4ddcb4097134ff3c332f>
    <TaxCatchAll xmlns="421f4131-b2ef-4469-bff2-eb2a59e276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307C7-3B9B-4588-8A9C-B617B7225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4ee53-0cc7-423a-b393-45e5095a1399"/>
    <ds:schemaRef ds:uri="421f4131-b2ef-4469-bff2-eb2a59e27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9BB86-2224-49AB-961F-DE46E567E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2B3C7-C61B-4B20-AF23-55378A8C3FD8}">
  <ds:schemaRefs>
    <ds:schemaRef ds:uri="http://schemas.microsoft.com/office/2006/metadata/properties"/>
    <ds:schemaRef ds:uri="http://schemas.microsoft.com/office/infopath/2007/PartnerControls"/>
    <ds:schemaRef ds:uri="bed4ee53-0cc7-423a-b393-45e5095a1399"/>
    <ds:schemaRef ds:uri="421f4131-b2ef-4469-bff2-eb2a59e276ff"/>
  </ds:schemaRefs>
</ds:datastoreItem>
</file>

<file path=customXml/itemProps4.xml><?xml version="1.0" encoding="utf-8"?>
<ds:datastoreItem xmlns:ds="http://schemas.openxmlformats.org/officeDocument/2006/customXml" ds:itemID="{DF64D723-4A3B-4F8F-873E-C9CA09E4C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815</Words>
  <Characters>4843</Characters>
  <Application>Microsoft Office Word</Application>
  <DocSecurity>0</DocSecurity>
  <Lines>124</Lines>
  <Paragraphs>110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LM. Miller</dc:creator>
  <cp:keywords/>
  <dc:description/>
  <cp:lastModifiedBy>Stephanie Biggs</cp:lastModifiedBy>
  <cp:revision>3</cp:revision>
  <dcterms:created xsi:type="dcterms:W3CDTF">2025-12-18T14:19:00Z</dcterms:created>
  <dcterms:modified xsi:type="dcterms:W3CDTF">2025-12-18T14:23:00Z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0x010100D7CCA499DD28B3489CE93BC79F5117D9</vt:lpwstr>
  </property>
  <property fmtid="{D5CDD505-2E9C-101B-9397-08002B2CF9AE}" pid="3" name="MediaServiceImageTags">
    <vt:lpwstr/>
  </property>
</Properties>
</file>