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0021679E" w:rsidR="006B20EF" w:rsidRPr="007D7D0C" w:rsidRDefault="006B20EF" w:rsidP="29627BB2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6436B7F" w14:textId="2C1B070B" w:rsidR="00A46BEA" w:rsidRPr="007D7D0C" w:rsidRDefault="00660DD2" w:rsidP="29627BB2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ALL </w:t>
      </w:r>
      <w:r w:rsidR="6C4F0CE7" w:rsidRPr="69494B16">
        <w:rPr>
          <w:rFonts w:ascii="Arial" w:eastAsia="Arial" w:hAnsi="Arial" w:cs="Arial"/>
          <w:b/>
          <w:bCs/>
          <w:sz w:val="32"/>
          <w:szCs w:val="32"/>
          <w:u w:val="single"/>
        </w:rPr>
        <w:t>LEARNER</w:t>
      </w:r>
      <w:r w:rsidR="73F19223" w:rsidRPr="69494B16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 </w:t>
      </w:r>
      <w:r w:rsidR="00870DE1">
        <w:rPr>
          <w:rFonts w:ascii="Arial" w:eastAsia="Arial" w:hAnsi="Arial" w:cs="Arial"/>
          <w:b/>
          <w:bCs/>
          <w:sz w:val="32"/>
          <w:szCs w:val="32"/>
          <w:u w:val="single"/>
        </w:rPr>
        <w:t>REFUND</w:t>
      </w:r>
      <w:r w:rsidR="00A46BEA" w:rsidRPr="69494B16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 POLICY</w:t>
      </w:r>
      <w:r w:rsidR="6998C674" w:rsidRPr="69494B16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 202</w:t>
      </w:r>
      <w:r w:rsidR="4489B106" w:rsidRPr="69494B16">
        <w:rPr>
          <w:rFonts w:ascii="Arial" w:eastAsia="Arial" w:hAnsi="Arial" w:cs="Arial"/>
          <w:b/>
          <w:bCs/>
          <w:sz w:val="32"/>
          <w:szCs w:val="32"/>
          <w:u w:val="single"/>
        </w:rPr>
        <w:t>5</w:t>
      </w:r>
      <w:r w:rsidR="6998C674" w:rsidRPr="69494B16">
        <w:rPr>
          <w:rFonts w:ascii="Arial" w:eastAsia="Arial" w:hAnsi="Arial" w:cs="Arial"/>
          <w:b/>
          <w:bCs/>
          <w:sz w:val="32"/>
          <w:szCs w:val="32"/>
          <w:u w:val="single"/>
        </w:rPr>
        <w:t>-202</w:t>
      </w:r>
      <w:r w:rsidR="14350AA4" w:rsidRPr="69494B16">
        <w:rPr>
          <w:rFonts w:ascii="Arial" w:eastAsia="Arial" w:hAnsi="Arial" w:cs="Arial"/>
          <w:b/>
          <w:bCs/>
          <w:sz w:val="32"/>
          <w:szCs w:val="32"/>
          <w:u w:val="single"/>
        </w:rPr>
        <w:t>6</w:t>
      </w:r>
    </w:p>
    <w:p w14:paraId="36ADC0BA" w14:textId="77777777" w:rsidR="00870DE1" w:rsidRPr="004A1C81" w:rsidRDefault="00870DE1" w:rsidP="00870DE1">
      <w:pPr>
        <w:spacing w:after="0" w:line="240" w:lineRule="auto"/>
        <w:rPr>
          <w:rFonts w:eastAsia="Times New Roman"/>
          <w:lang w:eastAsia="en-GB"/>
        </w:rPr>
      </w:pPr>
    </w:p>
    <w:p w14:paraId="42C77F54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en-GB"/>
        </w:rPr>
      </w:pPr>
      <w:r w:rsidRPr="004A1C81">
        <w:rPr>
          <w:rFonts w:eastAsia="Times New Roman"/>
          <w:b/>
          <w:bCs/>
          <w:kern w:val="36"/>
          <w:sz w:val="48"/>
          <w:szCs w:val="48"/>
          <w:lang w:eastAsia="en-GB"/>
        </w:rPr>
        <w:t>Advanced Learner Loans – Refunds Policy</w:t>
      </w:r>
    </w:p>
    <w:p w14:paraId="7A6C9899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</w:p>
    <w:p w14:paraId="332712AE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4A1C81">
        <w:rPr>
          <w:rFonts w:eastAsia="Times New Roman"/>
          <w:b/>
          <w:bCs/>
          <w:sz w:val="36"/>
          <w:szCs w:val="36"/>
          <w:lang w:eastAsia="en-GB"/>
        </w:rPr>
        <w:t>1. Purpose and Scope</w:t>
      </w:r>
    </w:p>
    <w:p w14:paraId="7D0462AB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This policy sets out </w:t>
      </w: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 xml:space="preserve">’s position on refunds for learners funded through an Advanced Learner Loan (ALL). It applies to all learners who have taken out an ALL for a qualification delivered by </w:t>
      </w: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>, and to all staff involved in enrolment, IAG, administration, compliance, and finance.</w:t>
      </w:r>
    </w:p>
    <w:p w14:paraId="2C4A2293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The purpose of this policy is to:</w:t>
      </w:r>
    </w:p>
    <w:p w14:paraId="331D1CF9" w14:textId="77777777" w:rsidR="00870DE1" w:rsidRPr="004A1C81" w:rsidRDefault="00870DE1" w:rsidP="00870DE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Ensure clarity, fairness, and consistency in how refund decisions are made.</w:t>
      </w:r>
    </w:p>
    <w:p w14:paraId="7EED3F70" w14:textId="77777777" w:rsidR="00870DE1" w:rsidRPr="004A1C81" w:rsidRDefault="00870DE1" w:rsidP="00870DE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Protect the integrity of public funds administered through the Student Loans Company (SLC).</w:t>
      </w:r>
    </w:p>
    <w:p w14:paraId="6EA7BAB9" w14:textId="77777777" w:rsidR="00870DE1" w:rsidRPr="004A1C81" w:rsidRDefault="00870DE1" w:rsidP="00870DE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Safeguard </w:t>
      </w: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 xml:space="preserve"> against financial, regulatory, and fraud risks.</w:t>
      </w:r>
    </w:p>
    <w:p w14:paraId="33B341F8" w14:textId="77777777" w:rsidR="00870DE1" w:rsidRPr="004A1C81" w:rsidRDefault="00870DE1" w:rsidP="00870DE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Comply fully with</w:t>
      </w:r>
      <w:r>
        <w:rPr>
          <w:rFonts w:eastAsia="Times New Roman"/>
          <w:lang w:eastAsia="en-GB"/>
        </w:rPr>
        <w:t xml:space="preserve"> Department for Education</w:t>
      </w:r>
      <w:r w:rsidRPr="004A1C8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(DfE)</w:t>
      </w:r>
      <w:r w:rsidRPr="004A1C81">
        <w:rPr>
          <w:rFonts w:eastAsia="Times New Roman"/>
          <w:lang w:eastAsia="en-GB"/>
        </w:rPr>
        <w:t xml:space="preserve"> funding rules, SLC loan regulations, and the Provider Agreement.</w:t>
      </w:r>
    </w:p>
    <w:p w14:paraId="7EF69D2F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4A1C81">
        <w:rPr>
          <w:rFonts w:eastAsia="Times New Roman"/>
          <w:b/>
          <w:bCs/>
          <w:sz w:val="36"/>
          <w:szCs w:val="36"/>
          <w:lang w:eastAsia="en-GB"/>
        </w:rPr>
        <w:t>2. Core Principles</w:t>
      </w:r>
    </w:p>
    <w:p w14:paraId="55F908F6" w14:textId="77777777" w:rsidR="00870DE1" w:rsidRPr="004A1C81" w:rsidRDefault="00870DE1" w:rsidP="00870DE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b/>
          <w:bCs/>
          <w:lang w:eastAsia="en-GB"/>
        </w:rPr>
        <w:t>The Student Loans Company (SLC) is the body responsible for loan approvals, payments, and due-diligence checks.</w:t>
      </w:r>
    </w:p>
    <w:p w14:paraId="4DD9ACFE" w14:textId="77777777" w:rsidR="00870DE1" w:rsidRPr="004A1C81" w:rsidRDefault="00870DE1" w:rsidP="00870DE1">
      <w:pPr>
        <w:spacing w:before="100" w:beforeAutospacing="1" w:after="100" w:afterAutospacing="1" w:line="240" w:lineRule="auto"/>
        <w:ind w:left="720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SLC applies its own validation, identity, and eligibility checks before any loan is approved or paid. </w:t>
      </w: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 xml:space="preserve"> </w:t>
      </w:r>
      <w:proofErr w:type="gramStart"/>
      <w:r w:rsidRPr="004A1C81">
        <w:rPr>
          <w:rFonts w:eastAsia="Times New Roman"/>
          <w:lang w:eastAsia="en-GB"/>
        </w:rPr>
        <w:t>aligns to</w:t>
      </w:r>
      <w:proofErr w:type="gramEnd"/>
      <w:r w:rsidRPr="004A1C81">
        <w:rPr>
          <w:rFonts w:eastAsia="Times New Roman"/>
          <w:lang w:eastAsia="en-GB"/>
        </w:rPr>
        <w:t xml:space="preserve"> these processes and relies upon them for financial assurance.</w:t>
      </w:r>
    </w:p>
    <w:p w14:paraId="32CE6E22" w14:textId="77777777" w:rsidR="00870DE1" w:rsidRPr="004A1C81" w:rsidRDefault="00870DE1" w:rsidP="00870DE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>
        <w:rPr>
          <w:rFonts w:eastAsia="Times New Roman"/>
          <w:b/>
          <w:bCs/>
          <w:lang w:eastAsia="en-GB"/>
        </w:rPr>
        <w:t>Green Labyrinth</w:t>
      </w:r>
      <w:r w:rsidRPr="004A1C81">
        <w:rPr>
          <w:rFonts w:eastAsia="Times New Roman"/>
          <w:b/>
          <w:bCs/>
          <w:lang w:eastAsia="en-GB"/>
        </w:rPr>
        <w:t xml:space="preserve"> </w:t>
      </w:r>
      <w:r w:rsidRPr="004A1C81">
        <w:rPr>
          <w:rFonts w:eastAsia="Times New Roman"/>
          <w:b/>
          <w:bCs/>
          <w:u w:val="single"/>
          <w:lang w:eastAsia="en-GB"/>
        </w:rPr>
        <w:t>does no</w:t>
      </w:r>
      <w:r w:rsidRPr="004A1C81">
        <w:rPr>
          <w:rFonts w:eastAsia="Times New Roman"/>
          <w:b/>
          <w:bCs/>
          <w:lang w:eastAsia="en-GB"/>
        </w:rPr>
        <w:t>t issue refunds of Advanced Learner Loans except in extremely limited circumstances.</w:t>
      </w:r>
    </w:p>
    <w:p w14:paraId="3463CA5F" w14:textId="77777777" w:rsidR="00870DE1" w:rsidRPr="004A1C81" w:rsidRDefault="00870DE1" w:rsidP="00870DE1">
      <w:pPr>
        <w:spacing w:before="100" w:beforeAutospacing="1" w:after="100" w:afterAutospacing="1" w:line="240" w:lineRule="auto"/>
        <w:ind w:left="720"/>
        <w:rPr>
          <w:rFonts w:eastAsia="Times New Roman"/>
          <w:lang w:eastAsia="en-GB"/>
        </w:rPr>
      </w:pPr>
      <w:proofErr w:type="gramStart"/>
      <w:r w:rsidRPr="004A1C81">
        <w:rPr>
          <w:rFonts w:eastAsia="Times New Roman"/>
          <w:lang w:eastAsia="en-GB"/>
        </w:rPr>
        <w:t>An ALL</w:t>
      </w:r>
      <w:proofErr w:type="gramEnd"/>
      <w:r w:rsidRPr="004A1C81">
        <w:rPr>
          <w:rFonts w:eastAsia="Times New Roman"/>
          <w:lang w:eastAsia="en-GB"/>
        </w:rPr>
        <w:t xml:space="preserve"> is a contract between the learner and the SLC. The provider is not the lender, and therefore </w:t>
      </w:r>
      <w:r w:rsidRPr="004A1C81">
        <w:rPr>
          <w:rFonts w:eastAsia="Times New Roman"/>
          <w:b/>
          <w:bCs/>
          <w:lang w:eastAsia="en-GB"/>
        </w:rPr>
        <w:t>refunds are not normally made by the provider</w:t>
      </w:r>
      <w:r w:rsidRPr="004A1C81">
        <w:rPr>
          <w:rFonts w:eastAsia="Times New Roman"/>
          <w:lang w:eastAsia="en-GB"/>
        </w:rPr>
        <w:t>.</w:t>
      </w:r>
    </w:p>
    <w:p w14:paraId="735764F1" w14:textId="77777777" w:rsidR="00870DE1" w:rsidRPr="001B5D24" w:rsidRDefault="00870DE1" w:rsidP="00870DE1">
      <w:pPr>
        <w:pStyle w:val="ListParagraph"/>
        <w:numPr>
          <w:ilvl w:val="0"/>
          <w:numId w:val="47"/>
        </w:numPr>
        <w:spacing w:after="0" w:line="240" w:lineRule="auto"/>
        <w:rPr>
          <w:rFonts w:ascii="Helvetica Neue" w:eastAsia="Times New Roman" w:hAnsi="Helvetica Neue"/>
          <w:color w:val="0E0E0E"/>
          <w:sz w:val="21"/>
          <w:szCs w:val="21"/>
          <w:lang w:eastAsia="en-GB"/>
        </w:rPr>
      </w:pPr>
      <w:r w:rsidRPr="001B5D24">
        <w:rPr>
          <w:rFonts w:ascii="Helvetica Neue" w:eastAsia="Times New Roman" w:hAnsi="Helvetica Neue"/>
          <w:b/>
          <w:bCs/>
          <w:color w:val="0E0E0E"/>
          <w:sz w:val="21"/>
          <w:szCs w:val="21"/>
          <w:lang w:eastAsia="en-GB"/>
        </w:rPr>
        <w:t>Refunds will not normally be considered and will only be escalated where there is irrefutable and independently verifiable evidence of fraud</w:t>
      </w:r>
    </w:p>
    <w:p w14:paraId="7AC867DC" w14:textId="77777777" w:rsidR="00870DE1" w:rsidRDefault="00870DE1" w:rsidP="00870DE1">
      <w:pPr>
        <w:spacing w:before="100" w:beforeAutospacing="1" w:after="100" w:afterAutospacing="1" w:line="240" w:lineRule="auto"/>
        <w:ind w:left="720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This threshold is deliberately high to ensure that public money and provider funds are protected.</w:t>
      </w:r>
    </w:p>
    <w:p w14:paraId="75455BEE" w14:textId="77777777" w:rsidR="00870DE1" w:rsidRPr="004A1C81" w:rsidRDefault="00870DE1" w:rsidP="00870DE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b/>
          <w:bCs/>
          <w:lang w:eastAsia="en-GB"/>
        </w:rPr>
        <w:lastRenderedPageBreak/>
        <w:t xml:space="preserve">Quality of teaching, learner satisfaction, or withdrawal from study do not </w:t>
      </w:r>
      <w:r>
        <w:rPr>
          <w:rFonts w:eastAsia="Times New Roman"/>
          <w:b/>
          <w:bCs/>
          <w:lang w:eastAsia="en-GB"/>
        </w:rPr>
        <w:t xml:space="preserve">automatically </w:t>
      </w:r>
      <w:r w:rsidRPr="004A1C81">
        <w:rPr>
          <w:rFonts w:eastAsia="Times New Roman"/>
          <w:b/>
          <w:bCs/>
          <w:lang w:eastAsia="en-GB"/>
        </w:rPr>
        <w:t>constitute grounds for a refund.</w:t>
      </w:r>
    </w:p>
    <w:p w14:paraId="00E4A0CB" w14:textId="77777777" w:rsidR="00870DE1" w:rsidRPr="008967A7" w:rsidRDefault="00870DE1" w:rsidP="00870DE1">
      <w:pPr>
        <w:spacing w:after="0" w:line="240" w:lineRule="auto"/>
        <w:ind w:left="720"/>
        <w:rPr>
          <w:rFonts w:eastAsia="Times New Roman"/>
          <w:color w:val="0E0E0E"/>
          <w:lang w:eastAsia="en-GB"/>
        </w:rPr>
      </w:pPr>
      <w:r w:rsidRPr="008967A7">
        <w:rPr>
          <w:rFonts w:eastAsia="Times New Roman"/>
          <w:color w:val="0E0E0E"/>
          <w:lang w:eastAsia="en-GB"/>
        </w:rPr>
        <w:t>Such matters are managed in accordance with the SLC rules through the established withdrawal, break-in-learning, and Change of Circumstance (CoC) processes.</w:t>
      </w:r>
    </w:p>
    <w:p w14:paraId="5DF92B70" w14:textId="77777777" w:rsidR="00870DE1" w:rsidRPr="008967A7" w:rsidRDefault="00870DE1" w:rsidP="00870DE1">
      <w:pPr>
        <w:spacing w:after="0" w:line="240" w:lineRule="auto"/>
        <w:ind w:left="720"/>
        <w:rPr>
          <w:rFonts w:eastAsia="Times New Roman"/>
          <w:color w:val="0E0E0E"/>
          <w:lang w:eastAsia="en-GB"/>
        </w:rPr>
      </w:pPr>
    </w:p>
    <w:p w14:paraId="3B046186" w14:textId="77777777" w:rsidR="00870DE1" w:rsidRDefault="00870DE1" w:rsidP="00870DE1">
      <w:pPr>
        <w:spacing w:after="0" w:line="240" w:lineRule="auto"/>
        <w:ind w:left="720"/>
        <w:rPr>
          <w:rFonts w:eastAsia="Times New Roman"/>
          <w:color w:val="0E0E0E"/>
          <w:lang w:eastAsia="en-GB"/>
        </w:rPr>
      </w:pPr>
      <w:r w:rsidRPr="008967A7">
        <w:rPr>
          <w:rFonts w:eastAsia="Times New Roman"/>
          <w:color w:val="0E0E0E"/>
          <w:lang w:eastAsia="en-GB"/>
        </w:rPr>
        <w:t xml:space="preserve">Any </w:t>
      </w:r>
      <w:proofErr w:type="gramStart"/>
      <w:r w:rsidRPr="008967A7">
        <w:rPr>
          <w:rFonts w:eastAsia="Times New Roman"/>
          <w:color w:val="0E0E0E"/>
          <w:lang w:eastAsia="en-GB"/>
        </w:rPr>
        <w:t>concerns</w:t>
      </w:r>
      <w:proofErr w:type="gramEnd"/>
      <w:r w:rsidRPr="008967A7">
        <w:rPr>
          <w:rFonts w:eastAsia="Times New Roman"/>
          <w:color w:val="0E0E0E"/>
          <w:lang w:eastAsia="en-GB"/>
        </w:rPr>
        <w:t xml:space="preserve"> relating to delivery or continued participation must be raised promptly at the time they arise so that they can be appropriately addressed and, where applicable, notified to </w:t>
      </w:r>
      <w:proofErr w:type="gramStart"/>
      <w:r w:rsidRPr="008967A7">
        <w:rPr>
          <w:rFonts w:eastAsia="Times New Roman"/>
          <w:color w:val="0E0E0E"/>
          <w:lang w:eastAsia="en-GB"/>
        </w:rPr>
        <w:t>the SLC</w:t>
      </w:r>
      <w:proofErr w:type="gramEnd"/>
      <w:r w:rsidRPr="008967A7">
        <w:rPr>
          <w:rFonts w:eastAsia="Times New Roman"/>
          <w:color w:val="0E0E0E"/>
          <w:lang w:eastAsia="en-GB"/>
        </w:rPr>
        <w:t>. Concerns raised retrospectively, after delivery has taken place or learning has progressed, will not normally result in any adjustment or refund of loan funding.</w:t>
      </w:r>
    </w:p>
    <w:p w14:paraId="321E1DF5" w14:textId="77777777" w:rsidR="00870DE1" w:rsidRDefault="00870DE1" w:rsidP="00870DE1">
      <w:pPr>
        <w:spacing w:after="0" w:line="240" w:lineRule="auto"/>
        <w:ind w:left="720"/>
        <w:rPr>
          <w:rFonts w:eastAsia="Times New Roman"/>
          <w:color w:val="0E0E0E"/>
          <w:lang w:eastAsia="en-GB"/>
        </w:rPr>
      </w:pPr>
    </w:p>
    <w:p w14:paraId="48701665" w14:textId="77777777" w:rsidR="00870DE1" w:rsidRPr="001B5D24" w:rsidRDefault="00870DE1" w:rsidP="00870DE1">
      <w:pPr>
        <w:spacing w:after="0" w:line="240" w:lineRule="auto"/>
        <w:ind w:left="720"/>
        <w:rPr>
          <w:rFonts w:ascii="Helvetica Neue" w:eastAsia="Times New Roman" w:hAnsi="Helvetica Neue"/>
          <w:color w:val="0E0E0E"/>
          <w:sz w:val="21"/>
          <w:szCs w:val="21"/>
          <w:lang w:eastAsia="en-GB"/>
        </w:rPr>
      </w:pPr>
      <w:r w:rsidRPr="001B5D24">
        <w:rPr>
          <w:rFonts w:ascii="Helvetica Neue" w:eastAsia="Times New Roman" w:hAnsi="Helvetica Neue"/>
          <w:b/>
          <w:bCs/>
          <w:color w:val="0E0E0E"/>
          <w:sz w:val="21"/>
          <w:szCs w:val="21"/>
          <w:lang w:eastAsia="en-GB"/>
        </w:rPr>
        <w:t>Green Labyrinth will not make any refund or repayment directly to a learner in respect of Advanced Learner Loan funding. Such payments are prohibited under the SLC regulations and the Provider Agreement and can only be managed through the SLC.</w:t>
      </w:r>
    </w:p>
    <w:p w14:paraId="0F180B18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4A1C81">
        <w:rPr>
          <w:rFonts w:eastAsia="Times New Roman"/>
          <w:b/>
          <w:bCs/>
          <w:sz w:val="36"/>
          <w:szCs w:val="36"/>
          <w:lang w:eastAsia="en-GB"/>
        </w:rPr>
        <w:t>3. SLC Role and Due Diligence</w:t>
      </w:r>
    </w:p>
    <w:p w14:paraId="286E4880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Before </w:t>
      </w:r>
      <w:proofErr w:type="spellStart"/>
      <w:r w:rsidRPr="004A1C81">
        <w:rPr>
          <w:rFonts w:eastAsia="Times New Roman"/>
          <w:lang w:eastAsia="en-GB"/>
        </w:rPr>
        <w:t>authorising</w:t>
      </w:r>
      <w:proofErr w:type="spellEnd"/>
      <w:r w:rsidRPr="004A1C81">
        <w:rPr>
          <w:rFonts w:eastAsia="Times New Roman"/>
          <w:lang w:eastAsia="en-GB"/>
        </w:rPr>
        <w:t xml:space="preserve"> a loan, SLC undertakes:</w:t>
      </w:r>
    </w:p>
    <w:p w14:paraId="29E0137E" w14:textId="77777777" w:rsidR="00870DE1" w:rsidRPr="004A1C81" w:rsidRDefault="00870DE1" w:rsidP="00870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Identity verification</w:t>
      </w:r>
    </w:p>
    <w:p w14:paraId="14589D12" w14:textId="77777777" w:rsidR="00870DE1" w:rsidRPr="004A1C81" w:rsidRDefault="00870DE1" w:rsidP="00870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Residency checks</w:t>
      </w:r>
    </w:p>
    <w:p w14:paraId="268E7C47" w14:textId="77777777" w:rsidR="00870DE1" w:rsidRPr="004A1C81" w:rsidRDefault="00870DE1" w:rsidP="00870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Eligibility confirmation</w:t>
      </w:r>
    </w:p>
    <w:p w14:paraId="4342873C" w14:textId="77777777" w:rsidR="00870DE1" w:rsidRPr="004A1C81" w:rsidRDefault="00870DE1" w:rsidP="00870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Financial and application integrity checks</w:t>
      </w:r>
    </w:p>
    <w:p w14:paraId="6A4AE1A9" w14:textId="77777777" w:rsidR="00870DE1" w:rsidRPr="004A1C81" w:rsidRDefault="00870DE1" w:rsidP="00870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Validation of the Learning and Funding Information Letter (L</w:t>
      </w:r>
      <w:r>
        <w:rPr>
          <w:rFonts w:eastAsia="Times New Roman"/>
          <w:lang w:eastAsia="en-GB"/>
        </w:rPr>
        <w:t>A</w:t>
      </w:r>
      <w:r w:rsidRPr="004A1C81">
        <w:rPr>
          <w:rFonts w:eastAsia="Times New Roman"/>
          <w:lang w:eastAsia="en-GB"/>
        </w:rPr>
        <w:t>FIL)</w:t>
      </w:r>
    </w:p>
    <w:p w14:paraId="55BFFA91" w14:textId="77777777" w:rsidR="00870DE1" w:rsidRPr="004A1C81" w:rsidRDefault="00870DE1" w:rsidP="00870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Ongoing monitoring of provider CoC submissions</w:t>
      </w:r>
    </w:p>
    <w:p w14:paraId="40FC7547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Because SLC carries out these checks, </w:t>
      </w:r>
      <w:r>
        <w:rPr>
          <w:rFonts w:eastAsia="Times New Roman"/>
          <w:b/>
          <w:bCs/>
          <w:lang w:eastAsia="en-GB"/>
        </w:rPr>
        <w:t>Green Labyrinth</w:t>
      </w:r>
      <w:r w:rsidRPr="004A1C81">
        <w:rPr>
          <w:rFonts w:eastAsia="Times New Roman"/>
          <w:b/>
          <w:bCs/>
          <w:lang w:eastAsia="en-GB"/>
        </w:rPr>
        <w:t xml:space="preserve"> relies on SLC determinations as authoritative</w:t>
      </w:r>
      <w:r w:rsidRPr="004A1C81">
        <w:rPr>
          <w:rFonts w:eastAsia="Times New Roman"/>
          <w:lang w:eastAsia="en-GB"/>
        </w:rPr>
        <w:t xml:space="preserve"> unless evidence demonstrates that the application itself was based on fraud.</w:t>
      </w:r>
    </w:p>
    <w:p w14:paraId="302BEE26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4A1C81">
        <w:rPr>
          <w:rFonts w:eastAsia="Times New Roman"/>
          <w:b/>
          <w:bCs/>
          <w:sz w:val="36"/>
          <w:szCs w:val="36"/>
          <w:lang w:eastAsia="en-GB"/>
        </w:rPr>
        <w:t xml:space="preserve">4. </w:t>
      </w:r>
      <w:r>
        <w:rPr>
          <w:rFonts w:eastAsia="Times New Roman"/>
          <w:b/>
          <w:bCs/>
          <w:sz w:val="36"/>
          <w:szCs w:val="36"/>
          <w:lang w:eastAsia="en-GB"/>
        </w:rPr>
        <w:t>Green Labyrinth</w:t>
      </w:r>
      <w:r w:rsidRPr="004A1C81">
        <w:rPr>
          <w:rFonts w:eastAsia="Times New Roman"/>
          <w:b/>
          <w:bCs/>
          <w:sz w:val="36"/>
          <w:szCs w:val="36"/>
          <w:lang w:eastAsia="en-GB"/>
        </w:rPr>
        <w:t xml:space="preserve"> Position on Refunds</w:t>
      </w:r>
    </w:p>
    <w:p w14:paraId="205BFAFA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en-GB"/>
        </w:rPr>
      </w:pPr>
      <w:r w:rsidRPr="004A1C81">
        <w:rPr>
          <w:rFonts w:eastAsia="Times New Roman"/>
          <w:b/>
          <w:bCs/>
          <w:sz w:val="27"/>
          <w:szCs w:val="27"/>
          <w:lang w:eastAsia="en-GB"/>
        </w:rPr>
        <w:t>4.1 No Refunds Except in Proven Fraud</w:t>
      </w:r>
    </w:p>
    <w:p w14:paraId="03B81421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 xml:space="preserve"> will only refund loan payments to the SLC (never to the learner) where </w:t>
      </w:r>
      <w:proofErr w:type="gramStart"/>
      <w:r w:rsidRPr="004A1C81">
        <w:rPr>
          <w:rFonts w:eastAsia="Times New Roman"/>
          <w:b/>
          <w:bCs/>
          <w:lang w:eastAsia="en-GB"/>
        </w:rPr>
        <w:t>all</w:t>
      </w:r>
      <w:r w:rsidRPr="004A1C81">
        <w:rPr>
          <w:rFonts w:eastAsia="Times New Roman"/>
          <w:lang w:eastAsia="en-GB"/>
        </w:rPr>
        <w:t xml:space="preserve"> of</w:t>
      </w:r>
      <w:proofErr w:type="gramEnd"/>
      <w:r w:rsidRPr="004A1C81">
        <w:rPr>
          <w:rFonts w:eastAsia="Times New Roman"/>
          <w:lang w:eastAsia="en-GB"/>
        </w:rPr>
        <w:t xml:space="preserve"> the following are met:</w:t>
      </w:r>
    </w:p>
    <w:p w14:paraId="47E8D828" w14:textId="77777777" w:rsidR="00870DE1" w:rsidRPr="004A1C81" w:rsidRDefault="00870DE1" w:rsidP="00870DE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There is clear, documented, and verifiable evidence that the loan was obtained fraudulently.</w:t>
      </w:r>
    </w:p>
    <w:p w14:paraId="4AB949C7" w14:textId="77777777" w:rsidR="00870DE1" w:rsidRPr="004A1C81" w:rsidRDefault="00870DE1" w:rsidP="00870DE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The evidence is independent (e.g., police report, confirmed identity theft).</w:t>
      </w:r>
    </w:p>
    <w:p w14:paraId="41502991" w14:textId="77777777" w:rsidR="00870DE1" w:rsidRPr="004A1C81" w:rsidRDefault="00870DE1" w:rsidP="00870DE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The circumstances meet </w:t>
      </w:r>
      <w:proofErr w:type="gramStart"/>
      <w:r w:rsidRPr="004A1C81">
        <w:rPr>
          <w:rFonts w:eastAsia="Times New Roman"/>
          <w:lang w:eastAsia="en-GB"/>
        </w:rPr>
        <w:t>the SLC’s</w:t>
      </w:r>
      <w:proofErr w:type="gramEnd"/>
      <w:r w:rsidRPr="004A1C81">
        <w:rPr>
          <w:rFonts w:eastAsia="Times New Roman"/>
          <w:lang w:eastAsia="en-GB"/>
        </w:rPr>
        <w:t xml:space="preserve"> criteria for fraudulent loan applications.</w:t>
      </w:r>
    </w:p>
    <w:p w14:paraId="3B576416" w14:textId="77777777" w:rsidR="00870DE1" w:rsidRPr="004A1C81" w:rsidRDefault="00870DE1" w:rsidP="00870DE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The SLC confirms in writing that a “fraud refund” or “fraud reversal” is appropriate.</w:t>
      </w:r>
    </w:p>
    <w:p w14:paraId="22A7739D" w14:textId="77777777" w:rsidR="00870DE1" w:rsidRPr="004A1C81" w:rsidRDefault="00870DE1" w:rsidP="00870DE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The </w:t>
      </w:r>
      <w:r>
        <w:rPr>
          <w:rFonts w:eastAsia="Times New Roman"/>
          <w:lang w:eastAsia="en-GB"/>
        </w:rPr>
        <w:t>DFE</w:t>
      </w:r>
      <w:r w:rsidRPr="004A1C81">
        <w:rPr>
          <w:rFonts w:eastAsia="Times New Roman"/>
          <w:lang w:eastAsia="en-GB"/>
        </w:rPr>
        <w:t xml:space="preserve">/SLC </w:t>
      </w:r>
      <w:proofErr w:type="gramStart"/>
      <w:r w:rsidRPr="004A1C81">
        <w:rPr>
          <w:rFonts w:eastAsia="Times New Roman"/>
          <w:lang w:eastAsia="en-GB"/>
        </w:rPr>
        <w:t>require</w:t>
      </w:r>
      <w:proofErr w:type="gramEnd"/>
      <w:r w:rsidRPr="004A1C81">
        <w:rPr>
          <w:rFonts w:eastAsia="Times New Roman"/>
          <w:lang w:eastAsia="en-GB"/>
        </w:rPr>
        <w:t xml:space="preserve"> the provider to return the funds.</w:t>
      </w:r>
    </w:p>
    <w:p w14:paraId="0D0B1CCA" w14:textId="77777777" w:rsidR="00870DE1" w:rsidRDefault="00870DE1" w:rsidP="00870DE1">
      <w:pPr>
        <w:spacing w:before="100" w:beforeAutospacing="1" w:after="100" w:afterAutospacing="1" w:line="240" w:lineRule="auto"/>
        <w:outlineLvl w:val="2"/>
        <w:rPr>
          <w:rFonts w:eastAsia="Times New Roman"/>
          <w:lang w:eastAsia="en-GB"/>
        </w:rPr>
      </w:pPr>
    </w:p>
    <w:p w14:paraId="7E5C212F" w14:textId="77777777" w:rsidR="00870DE1" w:rsidRDefault="00870DE1" w:rsidP="00870DE1">
      <w:pPr>
        <w:spacing w:before="100" w:beforeAutospacing="1" w:after="100" w:afterAutospacing="1" w:line="240" w:lineRule="auto"/>
        <w:outlineLvl w:val="2"/>
        <w:rPr>
          <w:rFonts w:eastAsia="Times New Roman"/>
          <w:lang w:eastAsia="en-GB"/>
        </w:rPr>
      </w:pPr>
    </w:p>
    <w:p w14:paraId="2F7203EF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en-GB"/>
        </w:rPr>
      </w:pPr>
      <w:r w:rsidRPr="004A1C81">
        <w:rPr>
          <w:rFonts w:eastAsia="Times New Roman"/>
          <w:b/>
          <w:bCs/>
          <w:sz w:val="27"/>
          <w:szCs w:val="27"/>
          <w:lang w:eastAsia="en-GB"/>
        </w:rPr>
        <w:t>4.2 Situations That Do Not Qualify for a Refund</w:t>
      </w:r>
    </w:p>
    <w:p w14:paraId="440DA50A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Refunds will </w:t>
      </w:r>
      <w:r w:rsidRPr="004A1C81">
        <w:rPr>
          <w:rFonts w:eastAsia="Times New Roman"/>
          <w:b/>
          <w:bCs/>
          <w:lang w:eastAsia="en-GB"/>
        </w:rPr>
        <w:t>not</w:t>
      </w:r>
      <w:r w:rsidRPr="004A1C81">
        <w:rPr>
          <w:rFonts w:eastAsia="Times New Roman"/>
          <w:lang w:eastAsia="en-GB"/>
        </w:rPr>
        <w:t xml:space="preserve"> be issued in the following circumstances:</w:t>
      </w:r>
    </w:p>
    <w:p w14:paraId="5A8159D5" w14:textId="77777777" w:rsidR="00870DE1" w:rsidRPr="004A1C81" w:rsidRDefault="00870DE1" w:rsidP="00870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The learner withdraws voluntarily.</w:t>
      </w:r>
    </w:p>
    <w:p w14:paraId="2F601B1E" w14:textId="77777777" w:rsidR="00870DE1" w:rsidRPr="004A1C81" w:rsidRDefault="00870DE1" w:rsidP="00870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The learner fails to attend or stops engaging.</w:t>
      </w:r>
    </w:p>
    <w:p w14:paraId="14FD2677" w14:textId="77777777" w:rsidR="00870DE1" w:rsidRPr="004A1C81" w:rsidRDefault="00870DE1" w:rsidP="00870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The learner is removed due to </w:t>
      </w:r>
      <w:proofErr w:type="spellStart"/>
      <w:r w:rsidRPr="004A1C81">
        <w:rPr>
          <w:rFonts w:eastAsia="Times New Roman"/>
          <w:lang w:eastAsia="en-GB"/>
        </w:rPr>
        <w:t>behaviour</w:t>
      </w:r>
      <w:proofErr w:type="spellEnd"/>
      <w:r w:rsidRPr="004A1C81">
        <w:rPr>
          <w:rFonts w:eastAsia="Times New Roman"/>
          <w:lang w:eastAsia="en-GB"/>
        </w:rPr>
        <w:t>, safeguarding, or disciplinary breaches.</w:t>
      </w:r>
    </w:p>
    <w:p w14:paraId="4EB97188" w14:textId="77777777" w:rsidR="00870DE1" w:rsidRPr="004A1C81" w:rsidRDefault="00870DE1" w:rsidP="00870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Learner dissatisfaction with course content, delivery, pace, or tutor feedback.</w:t>
      </w:r>
    </w:p>
    <w:p w14:paraId="3B454121" w14:textId="77777777" w:rsidR="00870DE1" w:rsidRPr="004A1C81" w:rsidRDefault="00870DE1" w:rsidP="00870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The learner changes personal circumstances (employment, health, childcare, relocation).</w:t>
      </w:r>
    </w:p>
    <w:p w14:paraId="6AE056D8" w14:textId="77777777" w:rsidR="00870DE1" w:rsidRPr="004A1C81" w:rsidRDefault="00870DE1" w:rsidP="00870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Failure to complete assignments or assessments.</w:t>
      </w:r>
    </w:p>
    <w:p w14:paraId="3B707DBA" w14:textId="77777777" w:rsidR="00870DE1" w:rsidRPr="004A1C81" w:rsidRDefault="00870DE1" w:rsidP="00870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Any case where SLC </w:t>
      </w:r>
      <w:proofErr w:type="gramStart"/>
      <w:r w:rsidRPr="004A1C81">
        <w:rPr>
          <w:rFonts w:eastAsia="Times New Roman"/>
          <w:lang w:eastAsia="en-GB"/>
        </w:rPr>
        <w:t>due-diligence</w:t>
      </w:r>
      <w:proofErr w:type="gramEnd"/>
      <w:r w:rsidRPr="004A1C81">
        <w:rPr>
          <w:rFonts w:eastAsia="Times New Roman"/>
          <w:lang w:eastAsia="en-GB"/>
        </w:rPr>
        <w:t xml:space="preserve"> was completed and no fraud is established.</w:t>
      </w:r>
    </w:p>
    <w:p w14:paraId="659419B7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In these cases, a standard CoC withdrawal or suspension must be processed, and SLC repayment terms remain between the learner and SLC.</w:t>
      </w:r>
    </w:p>
    <w:p w14:paraId="7DAB76D1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4A1C81">
        <w:rPr>
          <w:rFonts w:eastAsia="Times New Roman"/>
          <w:b/>
          <w:bCs/>
          <w:sz w:val="36"/>
          <w:szCs w:val="36"/>
          <w:lang w:eastAsia="en-GB"/>
        </w:rPr>
        <w:t>5. Evidence Threshold for Fraud</w:t>
      </w:r>
    </w:p>
    <w:p w14:paraId="35FA1B00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To be considered “irrefutable”, evidence must be:</w:t>
      </w:r>
    </w:p>
    <w:p w14:paraId="56EA9834" w14:textId="77777777" w:rsidR="00870DE1" w:rsidRPr="004A1C81" w:rsidRDefault="00870DE1" w:rsidP="00870DE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Official (e.g., police crime reference number, Home Office or court documentation).</w:t>
      </w:r>
    </w:p>
    <w:p w14:paraId="00DDEE7E" w14:textId="77777777" w:rsidR="00870DE1" w:rsidRPr="004A1C81" w:rsidRDefault="00870DE1" w:rsidP="00870DE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Specific to loan misuse (e.g., evidence of identity theft, </w:t>
      </w:r>
      <w:proofErr w:type="spellStart"/>
      <w:r w:rsidRPr="004A1C81">
        <w:rPr>
          <w:rFonts w:eastAsia="Times New Roman"/>
          <w:lang w:eastAsia="en-GB"/>
        </w:rPr>
        <w:t>unauthorised</w:t>
      </w:r>
      <w:proofErr w:type="spellEnd"/>
      <w:r w:rsidRPr="004A1C81">
        <w:rPr>
          <w:rFonts w:eastAsia="Times New Roman"/>
          <w:lang w:eastAsia="en-GB"/>
        </w:rPr>
        <w:t xml:space="preserve"> signatures, forged documentation).</w:t>
      </w:r>
    </w:p>
    <w:p w14:paraId="5D1304F4" w14:textId="77777777" w:rsidR="00870DE1" w:rsidRPr="004A1C81" w:rsidRDefault="00870DE1" w:rsidP="00870DE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Capable of independent verification.</w:t>
      </w:r>
    </w:p>
    <w:p w14:paraId="3DB1F2C9" w14:textId="77777777" w:rsidR="00870DE1" w:rsidRPr="001B5D24" w:rsidRDefault="00870DE1" w:rsidP="00870DE1">
      <w:pPr>
        <w:rPr>
          <w:rFonts w:ascii="Helvetica Neue" w:eastAsia="Times New Roman" w:hAnsi="Helvetica Neue"/>
          <w:color w:val="0E0E0E"/>
          <w:sz w:val="21"/>
          <w:szCs w:val="21"/>
          <w:lang w:eastAsia="en-GB"/>
        </w:rPr>
      </w:pPr>
      <w:r w:rsidRPr="004A1C81">
        <w:rPr>
          <w:rFonts w:eastAsia="Times New Roman"/>
          <w:lang w:eastAsia="en-GB"/>
        </w:rPr>
        <w:t xml:space="preserve">Statements of dissatisfaction, perception, or dispute </w:t>
      </w:r>
      <w:r w:rsidRPr="004A1C81">
        <w:rPr>
          <w:rFonts w:eastAsia="Times New Roman"/>
          <w:b/>
          <w:bCs/>
          <w:lang w:eastAsia="en-GB"/>
        </w:rPr>
        <w:t>do not</w:t>
      </w:r>
      <w:r w:rsidRPr="004A1C81">
        <w:rPr>
          <w:rFonts w:eastAsia="Times New Roman"/>
          <w:lang w:eastAsia="en-GB"/>
        </w:rPr>
        <w:t xml:space="preserve"> meet this threshold.</w:t>
      </w:r>
      <w:r>
        <w:rPr>
          <w:rFonts w:eastAsia="Times New Roman"/>
          <w:lang w:eastAsia="en-GB"/>
        </w:rPr>
        <w:t xml:space="preserve"> </w:t>
      </w:r>
      <w:r w:rsidRPr="001B5D24">
        <w:rPr>
          <w:rFonts w:ascii="Helvetica Neue" w:eastAsia="Times New Roman" w:hAnsi="Helvetica Neue"/>
          <w:b/>
          <w:bCs/>
          <w:color w:val="0E0E0E"/>
          <w:sz w:val="21"/>
          <w:szCs w:val="21"/>
          <w:lang w:eastAsia="en-GB"/>
        </w:rPr>
        <w:t>Green Labyrinth is under no obligation to investigate allegations that do not meet this evidential threshold and may decline to escalate such matters to the SLC.</w:t>
      </w:r>
    </w:p>
    <w:p w14:paraId="6EBBEEC5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4A1C81">
        <w:rPr>
          <w:rFonts w:eastAsia="Times New Roman"/>
          <w:b/>
          <w:bCs/>
          <w:sz w:val="36"/>
          <w:szCs w:val="36"/>
          <w:lang w:eastAsia="en-GB"/>
        </w:rPr>
        <w:t>6. Provider Responsibilities</w:t>
      </w:r>
    </w:p>
    <w:p w14:paraId="3AC3EF08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 xml:space="preserve"> will:</w:t>
      </w:r>
    </w:p>
    <w:p w14:paraId="09B5DC4D" w14:textId="77777777" w:rsidR="00870DE1" w:rsidRPr="004A1C81" w:rsidRDefault="00870DE1" w:rsidP="00870DE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Provide full, compliant IAG prior to enrolment.</w:t>
      </w:r>
    </w:p>
    <w:p w14:paraId="20D13A03" w14:textId="77777777" w:rsidR="00870DE1" w:rsidRPr="004A1C81" w:rsidRDefault="00870DE1" w:rsidP="00870DE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Ensure the learner receives an accurate Learning and Funding Information Letter (L</w:t>
      </w:r>
      <w:r>
        <w:rPr>
          <w:rFonts w:eastAsia="Times New Roman"/>
          <w:lang w:eastAsia="en-GB"/>
        </w:rPr>
        <w:t>A</w:t>
      </w:r>
      <w:r w:rsidRPr="004A1C81">
        <w:rPr>
          <w:rFonts w:eastAsia="Times New Roman"/>
          <w:lang w:eastAsia="en-GB"/>
        </w:rPr>
        <w:t>FIL).</w:t>
      </w:r>
    </w:p>
    <w:p w14:paraId="15AB35DF" w14:textId="77777777" w:rsidR="00870DE1" w:rsidRPr="004A1C81" w:rsidRDefault="00870DE1" w:rsidP="00870DE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Submit timely and accurate ILR data and CoC notifications</w:t>
      </w:r>
      <w:r>
        <w:rPr>
          <w:rFonts w:eastAsia="Times New Roman"/>
          <w:lang w:eastAsia="en-GB"/>
        </w:rPr>
        <w:t xml:space="preserve"> to the SLC and DfE as appropriate</w:t>
      </w:r>
      <w:r w:rsidRPr="004A1C81">
        <w:rPr>
          <w:rFonts w:eastAsia="Times New Roman"/>
          <w:lang w:eastAsia="en-GB"/>
        </w:rPr>
        <w:t>.</w:t>
      </w:r>
    </w:p>
    <w:p w14:paraId="643E6900" w14:textId="77777777" w:rsidR="00870DE1" w:rsidRPr="004A1C81" w:rsidRDefault="00870DE1" w:rsidP="00870DE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Retain robust records to support audit, funding assurance, and SLC checks.</w:t>
      </w:r>
    </w:p>
    <w:p w14:paraId="494F1FA8" w14:textId="77777777" w:rsidR="00870DE1" w:rsidRPr="004A1C81" w:rsidRDefault="00870DE1" w:rsidP="00870DE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Cooperate with any SLC, </w:t>
      </w:r>
      <w:r>
        <w:rPr>
          <w:rFonts w:eastAsia="Times New Roman"/>
          <w:lang w:eastAsia="en-GB"/>
        </w:rPr>
        <w:t>DFE</w:t>
      </w:r>
      <w:r w:rsidRPr="004A1C81">
        <w:rPr>
          <w:rFonts w:eastAsia="Times New Roman"/>
          <w:lang w:eastAsia="en-GB"/>
        </w:rPr>
        <w:t>, or regulatory investigation.</w:t>
      </w:r>
    </w:p>
    <w:p w14:paraId="7B7E5721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 xml:space="preserve"> will not:</w:t>
      </w:r>
    </w:p>
    <w:p w14:paraId="38E18ACB" w14:textId="77777777" w:rsidR="00870DE1" w:rsidRPr="004A1C81" w:rsidRDefault="00870DE1" w:rsidP="00870DE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Circumvent SLC processes.</w:t>
      </w:r>
    </w:p>
    <w:p w14:paraId="3F9666B0" w14:textId="77777777" w:rsidR="00870DE1" w:rsidRPr="004A1C81" w:rsidRDefault="00870DE1" w:rsidP="00870DE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Make direct payments or refunds to learners.</w:t>
      </w:r>
    </w:p>
    <w:p w14:paraId="07EE38B8" w14:textId="77777777" w:rsidR="00870DE1" w:rsidRPr="004A1C81" w:rsidRDefault="00870DE1" w:rsidP="00870DE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Agree refunds for reasons outside fraud-based criteria.</w:t>
      </w:r>
    </w:p>
    <w:p w14:paraId="5902A8F5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4A1C81">
        <w:rPr>
          <w:rFonts w:eastAsia="Times New Roman"/>
          <w:b/>
          <w:bCs/>
          <w:sz w:val="36"/>
          <w:szCs w:val="36"/>
          <w:lang w:eastAsia="en-GB"/>
        </w:rPr>
        <w:lastRenderedPageBreak/>
        <w:t>7. Learner Responsibilities</w:t>
      </w:r>
    </w:p>
    <w:p w14:paraId="5618AF18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Learners are responsible for:</w:t>
      </w:r>
    </w:p>
    <w:p w14:paraId="0C0221BC" w14:textId="77777777" w:rsidR="00870DE1" w:rsidRPr="004A1C81" w:rsidRDefault="00870DE1" w:rsidP="00870DE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Ensuring all information provided during the loan application is </w:t>
      </w:r>
      <w:r w:rsidRPr="004A1C81">
        <w:rPr>
          <w:rFonts w:eastAsia="Times New Roman"/>
          <w:b/>
          <w:bCs/>
          <w:lang w:eastAsia="en-GB"/>
        </w:rPr>
        <w:t>true and accurate</w:t>
      </w:r>
      <w:r w:rsidRPr="004A1C81">
        <w:rPr>
          <w:rFonts w:eastAsia="Times New Roman"/>
          <w:lang w:eastAsia="en-GB"/>
        </w:rPr>
        <w:t>.</w:t>
      </w:r>
    </w:p>
    <w:p w14:paraId="48D4DFFF" w14:textId="77777777" w:rsidR="00870DE1" w:rsidRPr="004A1C81" w:rsidRDefault="00870DE1" w:rsidP="00870DE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Understanding their repayment obligations to SLC.</w:t>
      </w:r>
    </w:p>
    <w:p w14:paraId="29A2040B" w14:textId="77777777" w:rsidR="00870DE1" w:rsidRPr="004A1C81" w:rsidRDefault="00870DE1" w:rsidP="00870DE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Attending scheduled sessions and engaging </w:t>
      </w:r>
      <w:proofErr w:type="gramStart"/>
      <w:r w:rsidRPr="004A1C81">
        <w:rPr>
          <w:rFonts w:eastAsia="Times New Roman"/>
          <w:lang w:eastAsia="en-GB"/>
        </w:rPr>
        <w:t>with</w:t>
      </w:r>
      <w:proofErr w:type="gramEnd"/>
      <w:r w:rsidRPr="004A1C81">
        <w:rPr>
          <w:rFonts w:eastAsia="Times New Roman"/>
          <w:lang w:eastAsia="en-GB"/>
        </w:rPr>
        <w:t xml:space="preserve"> the </w:t>
      </w:r>
      <w:proofErr w:type="spellStart"/>
      <w:r w:rsidRPr="004A1C81">
        <w:rPr>
          <w:rFonts w:eastAsia="Times New Roman"/>
          <w:lang w:eastAsia="en-GB"/>
        </w:rPr>
        <w:t>programme</w:t>
      </w:r>
      <w:proofErr w:type="spellEnd"/>
      <w:r w:rsidRPr="004A1C81">
        <w:rPr>
          <w:rFonts w:eastAsia="Times New Roman"/>
          <w:lang w:eastAsia="en-GB"/>
        </w:rPr>
        <w:t>.</w:t>
      </w:r>
    </w:p>
    <w:p w14:paraId="4781DBA2" w14:textId="77777777" w:rsidR="00870DE1" w:rsidRPr="004A1C81" w:rsidRDefault="00870DE1" w:rsidP="00870DE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Informing </w:t>
      </w: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 xml:space="preserve"> of any change that may affect their loan or learning.</w:t>
      </w:r>
    </w:p>
    <w:p w14:paraId="5BD3B42F" w14:textId="77777777" w:rsidR="00870DE1" w:rsidRPr="004A1C81" w:rsidRDefault="00870DE1" w:rsidP="00870DE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Using </w:t>
      </w:r>
      <w:proofErr w:type="gramStart"/>
      <w:r w:rsidRPr="004A1C81">
        <w:rPr>
          <w:rFonts w:eastAsia="Times New Roman"/>
          <w:lang w:eastAsia="en-GB"/>
        </w:rPr>
        <w:t>the SLC</w:t>
      </w:r>
      <w:proofErr w:type="gramEnd"/>
      <w:r w:rsidRPr="004A1C81">
        <w:rPr>
          <w:rFonts w:eastAsia="Times New Roman"/>
          <w:lang w:eastAsia="en-GB"/>
        </w:rPr>
        <w:t xml:space="preserve"> appeals or complaints process where appropriate.</w:t>
      </w:r>
    </w:p>
    <w:p w14:paraId="63B46336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4A1C81">
        <w:rPr>
          <w:rFonts w:eastAsia="Times New Roman"/>
          <w:b/>
          <w:bCs/>
          <w:sz w:val="36"/>
          <w:szCs w:val="36"/>
          <w:lang w:eastAsia="en-GB"/>
        </w:rPr>
        <w:t>8. Complaints and Appeals</w:t>
      </w:r>
    </w:p>
    <w:p w14:paraId="1A4EFD4A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Learners who wish to dispute a decision made under this policy may follow </w:t>
      </w: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>’s formal Complaints Procedure.</w:t>
      </w:r>
    </w:p>
    <w:p w14:paraId="6357BE39" w14:textId="77777777" w:rsidR="00870DE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Where the matter relates to SLC decisions (loan eligibility, repayments, interest, evidence requirements), learners must use the </w:t>
      </w:r>
      <w:r w:rsidRPr="004A1C81">
        <w:rPr>
          <w:rFonts w:eastAsia="Times New Roman"/>
          <w:b/>
          <w:bCs/>
          <w:lang w:eastAsia="en-GB"/>
        </w:rPr>
        <w:t>SLC Complaints Procedure</w:t>
      </w:r>
      <w:r w:rsidRPr="004A1C81">
        <w:rPr>
          <w:rFonts w:eastAsia="Times New Roman"/>
          <w:lang w:eastAsia="en-GB"/>
        </w:rPr>
        <w:t xml:space="preserve"> as </w:t>
      </w: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 xml:space="preserve"> has no authority to overturn or amend SLC determinations.</w:t>
      </w:r>
    </w:p>
    <w:p w14:paraId="38296F58" w14:textId="77777777" w:rsidR="00870DE1" w:rsidRPr="001B5D24" w:rsidRDefault="00870DE1" w:rsidP="00870DE1">
      <w:pPr>
        <w:spacing w:after="0" w:line="240" w:lineRule="auto"/>
        <w:rPr>
          <w:rFonts w:eastAsia="Times New Roman"/>
          <w:color w:val="0E0E0E"/>
          <w:lang w:eastAsia="en-GB"/>
        </w:rPr>
      </w:pPr>
      <w:r w:rsidRPr="001B5D24">
        <w:rPr>
          <w:rFonts w:eastAsia="Times New Roman"/>
          <w:b/>
          <w:bCs/>
          <w:color w:val="0E0E0E"/>
          <w:lang w:eastAsia="en-GB"/>
        </w:rPr>
        <w:t>The existence of a complaint or dispute does not suspend the learner’s repayment obligations to the SLC unless and until the SLC determines otherwise.</w:t>
      </w:r>
    </w:p>
    <w:p w14:paraId="28A14642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4A1C81">
        <w:rPr>
          <w:rFonts w:eastAsia="Times New Roman"/>
          <w:b/>
          <w:bCs/>
          <w:sz w:val="36"/>
          <w:szCs w:val="36"/>
          <w:lang w:eastAsia="en-GB"/>
        </w:rPr>
        <w:t>9. Policy Review</w:t>
      </w:r>
    </w:p>
    <w:p w14:paraId="4E1109CC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This policy is reviewed annually or sooner if:</w:t>
      </w:r>
    </w:p>
    <w:p w14:paraId="7EB1BD4F" w14:textId="77777777" w:rsidR="00870DE1" w:rsidRPr="004A1C81" w:rsidRDefault="00870DE1" w:rsidP="00870DE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DFE</w:t>
      </w:r>
      <w:r w:rsidRPr="004A1C81">
        <w:rPr>
          <w:rFonts w:eastAsia="Times New Roman"/>
          <w:lang w:eastAsia="en-GB"/>
        </w:rPr>
        <w:t xml:space="preserve"> funding rules change</w:t>
      </w:r>
    </w:p>
    <w:p w14:paraId="03B8769D" w14:textId="77777777" w:rsidR="00870DE1" w:rsidRPr="004A1C81" w:rsidRDefault="00870DE1" w:rsidP="00870DE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SLC regulations change</w:t>
      </w:r>
    </w:p>
    <w:p w14:paraId="56AB22B3" w14:textId="77777777" w:rsidR="00870DE1" w:rsidRPr="004A1C81" w:rsidRDefault="00870DE1" w:rsidP="00870DE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Funding assurance audits identify required amendments</w:t>
      </w:r>
    </w:p>
    <w:p w14:paraId="7E5F19AB" w14:textId="77777777" w:rsidR="00870DE1" w:rsidRPr="004A1C81" w:rsidRDefault="00870DE1" w:rsidP="00870DE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>Legal or regulatory frameworks evolve</w:t>
      </w:r>
    </w:p>
    <w:p w14:paraId="2168C3DD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4A1C81">
        <w:rPr>
          <w:rFonts w:eastAsia="Times New Roman"/>
          <w:lang w:eastAsia="en-GB"/>
        </w:rPr>
        <w:t xml:space="preserve">The Finance Director and </w:t>
      </w:r>
      <w:r>
        <w:rPr>
          <w:rFonts w:eastAsia="Times New Roman"/>
          <w:lang w:eastAsia="en-GB"/>
        </w:rPr>
        <w:t>ALL Contract Manager</w:t>
      </w:r>
      <w:r w:rsidRPr="004A1C81">
        <w:rPr>
          <w:rFonts w:eastAsia="Times New Roman"/>
          <w:lang w:eastAsia="en-GB"/>
        </w:rPr>
        <w:t xml:space="preserve"> are jointly responsible for the review.</w:t>
      </w:r>
    </w:p>
    <w:p w14:paraId="4B2EA9CF" w14:textId="77777777" w:rsidR="00870DE1" w:rsidRPr="004A1C81" w:rsidRDefault="00870DE1" w:rsidP="00870DE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4A1C81">
        <w:rPr>
          <w:rFonts w:eastAsia="Times New Roman"/>
          <w:b/>
          <w:bCs/>
          <w:sz w:val="36"/>
          <w:szCs w:val="36"/>
          <w:lang w:eastAsia="en-GB"/>
        </w:rPr>
        <w:t>10. Summary Statement</w:t>
      </w:r>
    </w:p>
    <w:p w14:paraId="583550B3" w14:textId="77777777" w:rsidR="00870DE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 xml:space="preserve"> </w:t>
      </w:r>
      <w:proofErr w:type="spellStart"/>
      <w:r w:rsidRPr="004A1C81">
        <w:rPr>
          <w:rFonts w:eastAsia="Times New Roman"/>
          <w:lang w:eastAsia="en-GB"/>
        </w:rPr>
        <w:t>recognises</w:t>
      </w:r>
      <w:proofErr w:type="spellEnd"/>
      <w:r w:rsidRPr="004A1C81">
        <w:rPr>
          <w:rFonts w:eastAsia="Times New Roman"/>
          <w:lang w:eastAsia="en-GB"/>
        </w:rPr>
        <w:t xml:space="preserve"> and respects the SLC’s </w:t>
      </w:r>
      <w:proofErr w:type="gramStart"/>
      <w:r w:rsidRPr="004A1C81">
        <w:rPr>
          <w:rFonts w:eastAsia="Times New Roman"/>
          <w:lang w:eastAsia="en-GB"/>
        </w:rPr>
        <w:t>due-diligence</w:t>
      </w:r>
      <w:proofErr w:type="gramEnd"/>
      <w:r w:rsidRPr="004A1C81">
        <w:rPr>
          <w:rFonts w:eastAsia="Times New Roman"/>
          <w:lang w:eastAsia="en-GB"/>
        </w:rPr>
        <w:t xml:space="preserve"> processes. Refunds of Advanced Learner Loans are </w:t>
      </w:r>
      <w:r w:rsidRPr="004A1C81">
        <w:rPr>
          <w:rFonts w:eastAsia="Times New Roman"/>
          <w:b/>
          <w:bCs/>
          <w:lang w:eastAsia="en-GB"/>
        </w:rPr>
        <w:t>not provided</w:t>
      </w:r>
      <w:r w:rsidRPr="004A1C81">
        <w:rPr>
          <w:rFonts w:eastAsia="Times New Roman"/>
          <w:lang w:eastAsia="en-GB"/>
        </w:rPr>
        <w:t xml:space="preserve"> except where </w:t>
      </w:r>
      <w:r w:rsidRPr="004A1C81">
        <w:rPr>
          <w:rFonts w:eastAsia="Times New Roman"/>
          <w:b/>
          <w:bCs/>
          <w:lang w:eastAsia="en-GB"/>
        </w:rPr>
        <w:t>independently verified fraud</w:t>
      </w:r>
      <w:r w:rsidRPr="004A1C81">
        <w:rPr>
          <w:rFonts w:eastAsia="Times New Roman"/>
          <w:lang w:eastAsia="en-GB"/>
        </w:rPr>
        <w:t xml:space="preserve"> has occurred and the SLC directs a refund. This policy protects learners, public funds, and </w:t>
      </w:r>
      <w:r>
        <w:rPr>
          <w:rFonts w:eastAsia="Times New Roman"/>
          <w:lang w:eastAsia="en-GB"/>
        </w:rPr>
        <w:t>Green Labyrinth</w:t>
      </w:r>
      <w:r w:rsidRPr="004A1C81">
        <w:rPr>
          <w:rFonts w:eastAsia="Times New Roman"/>
          <w:lang w:eastAsia="en-GB"/>
        </w:rPr>
        <w:t>’s regulatory position.</w:t>
      </w:r>
    </w:p>
    <w:p w14:paraId="1065CF74" w14:textId="77777777" w:rsidR="00870DE1" w:rsidRPr="001B5D24" w:rsidRDefault="00870DE1" w:rsidP="00870DE1">
      <w:pPr>
        <w:rPr>
          <w:rFonts w:eastAsia="Times New Roman"/>
          <w:color w:val="0E0E0E"/>
          <w:lang w:eastAsia="en-GB"/>
        </w:rPr>
      </w:pPr>
      <w:r w:rsidRPr="001B5D24">
        <w:rPr>
          <w:rFonts w:eastAsia="Times New Roman"/>
          <w:color w:val="0E0E0E"/>
          <w:lang w:eastAsia="en-GB"/>
        </w:rPr>
        <w:t>Nothing in this policy is intended to exclude or restrict any statutory rights a learner may have under the Consumer Rights Act 2015 or other applicable consumer protection legislation.</w:t>
      </w:r>
    </w:p>
    <w:p w14:paraId="2CD44240" w14:textId="77777777" w:rsidR="00870DE1" w:rsidRPr="004A1C81" w:rsidRDefault="00870DE1" w:rsidP="00870DE1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</w:p>
    <w:p w14:paraId="65FE5210" w14:textId="77777777" w:rsidR="00870DE1" w:rsidRDefault="00870DE1" w:rsidP="00870DE1"/>
    <w:p w14:paraId="689F0E38" w14:textId="77777777" w:rsidR="00870DE1" w:rsidRPr="0005422B" w:rsidRDefault="00870DE1" w:rsidP="00870DE1"/>
    <w:p w14:paraId="662531E0" w14:textId="77777777" w:rsidR="00660DD2" w:rsidRPr="0080633F" w:rsidRDefault="00660DD2" w:rsidP="00660DD2">
      <w:pPr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3BF75D14" w14:textId="77777777" w:rsidR="00660DD2" w:rsidRPr="0080633F" w:rsidRDefault="00660DD2" w:rsidP="00660DD2"/>
    <w:p w14:paraId="4EF1931C" w14:textId="19A54DAC" w:rsidR="00D55548" w:rsidRDefault="00D55548" w:rsidP="29627BB2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14:paraId="1A933E7B" w14:textId="77777777" w:rsidR="00660DD2" w:rsidRDefault="00660DD2" w:rsidP="29627BB2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14:paraId="696E1774" w14:textId="77777777" w:rsidR="00660DD2" w:rsidRDefault="00660DD2" w:rsidP="29627BB2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109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90"/>
        <w:gridCol w:w="1470"/>
        <w:gridCol w:w="2010"/>
        <w:gridCol w:w="4972"/>
      </w:tblGrid>
      <w:tr w:rsidR="29627BB2" w14:paraId="60DDE13C" w14:textId="77777777" w:rsidTr="69494B16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CB5A66" w14:textId="0E03655F" w:rsidR="29627BB2" w:rsidRDefault="29627BB2" w:rsidP="29627BB2">
            <w:pPr>
              <w:jc w:val="center"/>
              <w:rPr>
                <w:rFonts w:ascii="Arial" w:eastAsia="Arial" w:hAnsi="Arial" w:cs="Arial"/>
              </w:rPr>
            </w:pPr>
            <w:r w:rsidRPr="29627BB2">
              <w:rPr>
                <w:rFonts w:ascii="Arial" w:eastAsia="Arial" w:hAnsi="Arial" w:cs="Arial"/>
                <w:b/>
                <w:bCs/>
              </w:rPr>
              <w:t>Reviewer</w:t>
            </w:r>
          </w:p>
        </w:tc>
        <w:tc>
          <w:tcPr>
            <w:tcW w:w="14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BCEC3A9" w14:textId="22923964" w:rsidR="29627BB2" w:rsidRDefault="7BB74E2A" w:rsidP="69494B16">
            <w:pPr>
              <w:jc w:val="center"/>
              <w:rPr>
                <w:rFonts w:ascii="Arial" w:eastAsia="Arial" w:hAnsi="Arial" w:cs="Arial"/>
              </w:rPr>
            </w:pPr>
            <w:r w:rsidRPr="69494B16">
              <w:rPr>
                <w:rFonts w:ascii="Arial" w:eastAsia="Arial" w:hAnsi="Arial" w:cs="Arial"/>
                <w:b/>
                <w:bCs/>
              </w:rPr>
              <w:t>Review Date</w:t>
            </w:r>
          </w:p>
        </w:tc>
        <w:tc>
          <w:tcPr>
            <w:tcW w:w="201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64DB1B52" w14:textId="559A5747" w:rsidR="29627BB2" w:rsidRDefault="29627BB2" w:rsidP="29627BB2">
            <w:pPr>
              <w:jc w:val="center"/>
              <w:rPr>
                <w:rFonts w:ascii="Arial" w:eastAsia="Arial" w:hAnsi="Arial" w:cs="Arial"/>
              </w:rPr>
            </w:pPr>
            <w:r w:rsidRPr="29627BB2">
              <w:rPr>
                <w:rFonts w:ascii="Arial" w:eastAsia="Arial" w:hAnsi="Arial" w:cs="Arial"/>
                <w:b/>
                <w:bCs/>
              </w:rPr>
              <w:t>Amendments Yes/No</w:t>
            </w:r>
          </w:p>
        </w:tc>
        <w:tc>
          <w:tcPr>
            <w:tcW w:w="497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A85332" w14:textId="2A0B714B" w:rsidR="29627BB2" w:rsidRDefault="29627BB2" w:rsidP="29627BB2">
            <w:pPr>
              <w:jc w:val="center"/>
              <w:rPr>
                <w:rFonts w:ascii="Arial" w:eastAsia="Arial" w:hAnsi="Arial" w:cs="Arial"/>
              </w:rPr>
            </w:pPr>
            <w:r w:rsidRPr="29627BB2">
              <w:rPr>
                <w:rFonts w:ascii="Arial" w:eastAsia="Arial" w:hAnsi="Arial" w:cs="Arial"/>
                <w:b/>
                <w:bCs/>
              </w:rPr>
              <w:t xml:space="preserve">Amendments Approved &amp; Date </w:t>
            </w:r>
          </w:p>
        </w:tc>
      </w:tr>
      <w:tr w:rsidR="29627BB2" w14:paraId="76B02946" w14:textId="77777777" w:rsidTr="69494B16">
        <w:trPr>
          <w:trHeight w:val="300"/>
        </w:trPr>
        <w:tc>
          <w:tcPr>
            <w:tcW w:w="249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A47A766" w14:textId="1000EEC3" w:rsidR="29627BB2" w:rsidRDefault="29627BB2" w:rsidP="69494B16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Mar>
              <w:left w:w="90" w:type="dxa"/>
              <w:right w:w="90" w:type="dxa"/>
            </w:tcMar>
          </w:tcPr>
          <w:p w14:paraId="61149023" w14:textId="0ED46491" w:rsidR="29627BB2" w:rsidRDefault="29627BB2" w:rsidP="69494B16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14:paraId="7B6B1A1E" w14:textId="0522CB39" w:rsidR="29627BB2" w:rsidRDefault="29627BB2" w:rsidP="69494B16">
            <w:pPr>
              <w:rPr>
                <w:rFonts w:ascii="Arial" w:eastAsia="Arial" w:hAnsi="Arial" w:cs="Arial"/>
              </w:rPr>
            </w:pPr>
          </w:p>
        </w:tc>
        <w:tc>
          <w:tcPr>
            <w:tcW w:w="497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E39AFE" w14:textId="22DAF432" w:rsidR="29627BB2" w:rsidRDefault="29627BB2" w:rsidP="69494B16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29627BB2" w14:paraId="7CB402D5" w14:textId="77777777" w:rsidTr="69494B16">
        <w:trPr>
          <w:trHeight w:val="300"/>
        </w:trPr>
        <w:tc>
          <w:tcPr>
            <w:tcW w:w="249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E0843FC" w14:textId="1F740EEE" w:rsidR="29627BB2" w:rsidRDefault="29627BB2" w:rsidP="29627BB2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D9E570C" w14:textId="417D289E" w:rsidR="29627BB2" w:rsidRDefault="29627BB2" w:rsidP="29627BB2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0C5DD6B" w14:textId="1CBA5FF8" w:rsidR="29627BB2" w:rsidRDefault="29627BB2" w:rsidP="29627BB2">
            <w:pPr>
              <w:rPr>
                <w:rFonts w:ascii="Arial" w:eastAsia="Arial" w:hAnsi="Arial" w:cs="Arial"/>
              </w:rPr>
            </w:pPr>
          </w:p>
        </w:tc>
        <w:tc>
          <w:tcPr>
            <w:tcW w:w="4972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BDB198" w14:textId="21D6F1D1" w:rsidR="29627BB2" w:rsidRDefault="29627BB2" w:rsidP="29627BB2">
            <w:pPr>
              <w:rPr>
                <w:rFonts w:ascii="Arial" w:eastAsia="Arial" w:hAnsi="Arial" w:cs="Arial"/>
              </w:rPr>
            </w:pPr>
          </w:p>
        </w:tc>
      </w:tr>
    </w:tbl>
    <w:p w14:paraId="5AAB2643" w14:textId="1C179D46" w:rsidR="69494B16" w:rsidRDefault="69494B16" w:rsidP="69494B16">
      <w:pPr>
        <w:rPr>
          <w:rFonts w:ascii="Arial" w:eastAsia="Arial" w:hAnsi="Arial" w:cs="Arial"/>
          <w:color w:val="000000" w:themeColor="text1"/>
        </w:rPr>
      </w:pPr>
    </w:p>
    <w:sectPr w:rsidR="69494B16" w:rsidSect="00A46BE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52D0" w14:textId="77777777" w:rsidR="00C35C02" w:rsidRDefault="00C35C02" w:rsidP="00A46BEA">
      <w:pPr>
        <w:spacing w:after="0" w:line="240" w:lineRule="auto"/>
      </w:pPr>
      <w:r>
        <w:separator/>
      </w:r>
    </w:p>
  </w:endnote>
  <w:endnote w:type="continuationSeparator" w:id="0">
    <w:p w14:paraId="25136DC5" w14:textId="77777777" w:rsidR="00C35C02" w:rsidRDefault="00C35C02" w:rsidP="00A4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402F" w14:textId="65166BDC" w:rsidR="29627BB2" w:rsidRDefault="29627BB2" w:rsidP="29627BB2">
    <w:pPr>
      <w:pStyle w:val="Footer"/>
      <w:jc w:val="right"/>
      <w:rPr>
        <w:rFonts w:ascii="Arial" w:eastAsia="Arial" w:hAnsi="Arial" w:cs="Arial"/>
      </w:rPr>
    </w:pPr>
    <w:r w:rsidRPr="29627BB2">
      <w:rPr>
        <w:rFonts w:ascii="Arial" w:eastAsia="Arial" w:hAnsi="Arial" w:cs="Arial"/>
      </w:rPr>
      <w:fldChar w:fldCharType="begin"/>
    </w:r>
    <w:r>
      <w:instrText>PAGE</w:instrText>
    </w:r>
    <w:r w:rsidRPr="29627BB2">
      <w:fldChar w:fldCharType="separate"/>
    </w:r>
    <w:r w:rsidR="00660DD2">
      <w:rPr>
        <w:noProof/>
      </w:rPr>
      <w:t>1</w:t>
    </w:r>
    <w:r w:rsidRPr="29627BB2">
      <w:rPr>
        <w:rFonts w:ascii="Arial" w:eastAsia="Arial" w:hAnsi="Arial" w:cs="Arial"/>
      </w:rPr>
      <w:fldChar w:fldCharType="end"/>
    </w:r>
  </w:p>
  <w:tbl>
    <w:tblPr>
      <w:tblStyle w:val="TableGrid"/>
      <w:tblW w:w="0" w:type="auto"/>
      <w:tblInd w:w="36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4200"/>
    </w:tblGrid>
    <w:tr w:rsidR="29627BB2" w14:paraId="6922C2E7" w14:textId="77777777" w:rsidTr="69494B16">
      <w:trPr>
        <w:trHeight w:val="300"/>
      </w:trPr>
      <w:tc>
        <w:tcPr>
          <w:tcW w:w="420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tcMar>
            <w:left w:w="90" w:type="dxa"/>
            <w:right w:w="90" w:type="dxa"/>
          </w:tcMar>
        </w:tcPr>
        <w:p w14:paraId="517C71AA" w14:textId="1E25D436" w:rsidR="29627BB2" w:rsidRDefault="69494B16" w:rsidP="69494B16">
          <w:pPr>
            <w:jc w:val="both"/>
            <w:rPr>
              <w:rFonts w:ascii="Arial" w:eastAsia="Arial" w:hAnsi="Arial" w:cs="Arial"/>
              <w:color w:val="000000" w:themeColor="text1"/>
            </w:rPr>
          </w:pPr>
          <w:r w:rsidRPr="69494B16">
            <w:rPr>
              <w:rFonts w:ascii="Arial" w:eastAsia="Arial" w:hAnsi="Arial" w:cs="Arial"/>
              <w:b/>
              <w:bCs/>
              <w:color w:val="000000" w:themeColor="text1"/>
              <w:lang w:val="en-GB"/>
            </w:rPr>
            <w:t>Author:</w:t>
          </w:r>
          <w:r w:rsidRPr="69494B16">
            <w:rPr>
              <w:rFonts w:ascii="Arial" w:eastAsia="Arial" w:hAnsi="Arial" w:cs="Arial"/>
              <w:color w:val="000000" w:themeColor="text1"/>
              <w:lang w:val="en-GB"/>
            </w:rPr>
            <w:t xml:space="preserve">  </w:t>
          </w:r>
          <w:r w:rsidR="00660DD2">
            <w:rPr>
              <w:rFonts w:ascii="Arial" w:eastAsia="Arial" w:hAnsi="Arial" w:cs="Arial"/>
              <w:color w:val="000000" w:themeColor="text1"/>
              <w:lang w:val="en-GB"/>
            </w:rPr>
            <w:t>B Davis / S Biggs</w:t>
          </w:r>
        </w:p>
      </w:tc>
    </w:tr>
    <w:tr w:rsidR="29627BB2" w14:paraId="5A7891A4" w14:textId="77777777" w:rsidTr="69494B16">
      <w:trPr>
        <w:trHeight w:val="300"/>
      </w:trPr>
      <w:tc>
        <w:tcPr>
          <w:tcW w:w="4200" w:type="dxa"/>
          <w:tcBorders>
            <w:left w:val="single" w:sz="6" w:space="0" w:color="auto"/>
            <w:right w:val="single" w:sz="6" w:space="0" w:color="auto"/>
          </w:tcBorders>
          <w:tcMar>
            <w:left w:w="90" w:type="dxa"/>
            <w:right w:w="90" w:type="dxa"/>
          </w:tcMar>
        </w:tcPr>
        <w:p w14:paraId="3A0B0327" w14:textId="795CE0AA" w:rsidR="29627BB2" w:rsidRDefault="69494B16" w:rsidP="69494B16">
          <w:pPr>
            <w:jc w:val="both"/>
            <w:rPr>
              <w:rFonts w:ascii="Arial" w:eastAsia="Arial" w:hAnsi="Arial" w:cs="Arial"/>
              <w:color w:val="000000" w:themeColor="text1"/>
              <w:lang w:val="en-GB"/>
            </w:rPr>
          </w:pPr>
          <w:r w:rsidRPr="69494B16">
            <w:rPr>
              <w:rFonts w:ascii="Arial" w:eastAsia="Arial" w:hAnsi="Arial" w:cs="Arial"/>
              <w:b/>
              <w:bCs/>
              <w:color w:val="000000" w:themeColor="text1"/>
              <w:lang w:val="en-GB"/>
            </w:rPr>
            <w:t>Version/Date:</w:t>
          </w:r>
          <w:r w:rsidRPr="69494B16">
            <w:rPr>
              <w:rFonts w:ascii="Arial" w:eastAsia="Arial" w:hAnsi="Arial" w:cs="Arial"/>
              <w:color w:val="000000" w:themeColor="text1"/>
              <w:lang w:val="en-GB"/>
            </w:rPr>
            <w:t xml:space="preserve">  </w:t>
          </w:r>
          <w:r w:rsidR="00660DD2">
            <w:rPr>
              <w:rFonts w:ascii="Arial" w:eastAsia="Arial" w:hAnsi="Arial" w:cs="Arial"/>
              <w:color w:val="000000" w:themeColor="text1"/>
              <w:lang w:val="en-GB"/>
            </w:rPr>
            <w:t>18.12.2025</w:t>
          </w:r>
        </w:p>
      </w:tc>
    </w:tr>
    <w:tr w:rsidR="29627BB2" w14:paraId="0C0B867F" w14:textId="77777777" w:rsidTr="69494B16">
      <w:trPr>
        <w:trHeight w:val="300"/>
      </w:trPr>
      <w:tc>
        <w:tcPr>
          <w:tcW w:w="420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tcMar>
            <w:left w:w="90" w:type="dxa"/>
            <w:right w:w="90" w:type="dxa"/>
          </w:tcMar>
        </w:tcPr>
        <w:p w14:paraId="2C91CF30" w14:textId="4EF7B5A9" w:rsidR="29627BB2" w:rsidRDefault="69494B16" w:rsidP="69494B16">
          <w:pPr>
            <w:jc w:val="both"/>
            <w:rPr>
              <w:rFonts w:ascii="Arial" w:eastAsia="Arial" w:hAnsi="Arial" w:cs="Arial"/>
              <w:color w:val="000000" w:themeColor="text1"/>
            </w:rPr>
          </w:pPr>
          <w:r w:rsidRPr="69494B16">
            <w:rPr>
              <w:rFonts w:ascii="Arial" w:eastAsia="Arial" w:hAnsi="Arial" w:cs="Arial"/>
              <w:b/>
              <w:bCs/>
              <w:color w:val="000000" w:themeColor="text1"/>
              <w:lang w:val="en-GB"/>
            </w:rPr>
            <w:t>Review Date:</w:t>
          </w:r>
          <w:r w:rsidRPr="69494B16">
            <w:rPr>
              <w:rFonts w:ascii="Arial" w:eastAsia="Arial" w:hAnsi="Arial" w:cs="Arial"/>
              <w:color w:val="000000" w:themeColor="text1"/>
              <w:lang w:val="en-GB"/>
            </w:rPr>
            <w:t xml:space="preserve"> </w:t>
          </w:r>
          <w:r w:rsidR="00660DD2">
            <w:rPr>
              <w:rFonts w:ascii="Arial" w:eastAsia="Arial" w:hAnsi="Arial" w:cs="Arial"/>
              <w:color w:val="000000" w:themeColor="text1"/>
              <w:lang w:val="en-GB"/>
            </w:rPr>
            <w:t>18.12.2025</w:t>
          </w:r>
        </w:p>
      </w:tc>
    </w:tr>
  </w:tbl>
  <w:p w14:paraId="1DBC4374" w14:textId="3B3ED08C" w:rsidR="29627BB2" w:rsidRDefault="29627BB2" w:rsidP="69494B16">
    <w:pPr>
      <w:pStyle w:val="Footer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Arial" w:eastAsia="Arial" w:hAnsi="Arial" w:cs="Arial"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5654" w14:textId="77777777" w:rsidR="00C35C02" w:rsidRDefault="00C35C02" w:rsidP="00A46BEA">
      <w:pPr>
        <w:spacing w:after="0" w:line="240" w:lineRule="auto"/>
      </w:pPr>
      <w:r>
        <w:separator/>
      </w:r>
    </w:p>
  </w:footnote>
  <w:footnote w:type="continuationSeparator" w:id="0">
    <w:p w14:paraId="2F630109" w14:textId="77777777" w:rsidR="00C35C02" w:rsidRDefault="00C35C02" w:rsidP="00A4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C4D7" w14:textId="77777777" w:rsidR="00A46BEA" w:rsidRDefault="00CE5819" w:rsidP="29627BB2">
    <w:pPr>
      <w:pStyle w:val="Header"/>
      <w:jc w:val="right"/>
      <w:rPr>
        <w:b/>
        <w:bCs/>
        <w:sz w:val="28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F2ECA70" wp14:editId="0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647825" cy="730250"/>
          <wp:effectExtent l="0" t="0" r="9525" b="0"/>
          <wp:wrapTight wrapText="bothSides">
            <wp:wrapPolygon edited="0">
              <wp:start x="0" y="0"/>
              <wp:lineTo x="0" y="20849"/>
              <wp:lineTo x="21475" y="20849"/>
              <wp:lineTo x="214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DED"/>
    <w:multiLevelType w:val="hybridMultilevel"/>
    <w:tmpl w:val="F1F0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8D0"/>
    <w:multiLevelType w:val="multilevel"/>
    <w:tmpl w:val="A7BE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07759"/>
    <w:multiLevelType w:val="multilevel"/>
    <w:tmpl w:val="D864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C1E4D"/>
    <w:multiLevelType w:val="hybridMultilevel"/>
    <w:tmpl w:val="29D676B2"/>
    <w:lvl w:ilvl="0" w:tplc="0E08BD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7A6F"/>
    <w:multiLevelType w:val="multilevel"/>
    <w:tmpl w:val="A8C2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C480B"/>
    <w:multiLevelType w:val="multilevel"/>
    <w:tmpl w:val="97DC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EEF8F8"/>
    <w:multiLevelType w:val="hybridMultilevel"/>
    <w:tmpl w:val="5FCC6D4E"/>
    <w:lvl w:ilvl="0" w:tplc="C9E4B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CA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6D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4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E9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2B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87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06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E5A06"/>
    <w:multiLevelType w:val="multilevel"/>
    <w:tmpl w:val="DB4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61B23"/>
    <w:multiLevelType w:val="multilevel"/>
    <w:tmpl w:val="7BE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21895"/>
    <w:multiLevelType w:val="hybridMultilevel"/>
    <w:tmpl w:val="A43E52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D05"/>
    <w:multiLevelType w:val="multilevel"/>
    <w:tmpl w:val="FE66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D6CEA"/>
    <w:multiLevelType w:val="hybridMultilevel"/>
    <w:tmpl w:val="80303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719A9"/>
    <w:multiLevelType w:val="multilevel"/>
    <w:tmpl w:val="5296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D93EE6"/>
    <w:multiLevelType w:val="hybridMultilevel"/>
    <w:tmpl w:val="251A9994"/>
    <w:lvl w:ilvl="0" w:tplc="A12482CA">
      <w:start w:val="179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529F"/>
    <w:multiLevelType w:val="multilevel"/>
    <w:tmpl w:val="A3FE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9694D"/>
    <w:multiLevelType w:val="hybridMultilevel"/>
    <w:tmpl w:val="D4066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4517C"/>
    <w:multiLevelType w:val="hybridMultilevel"/>
    <w:tmpl w:val="76E0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1BAA"/>
    <w:multiLevelType w:val="multilevel"/>
    <w:tmpl w:val="E18C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237D36"/>
    <w:multiLevelType w:val="hybridMultilevel"/>
    <w:tmpl w:val="FF50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F4407"/>
    <w:multiLevelType w:val="multilevel"/>
    <w:tmpl w:val="FAA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D7482"/>
    <w:multiLevelType w:val="hybridMultilevel"/>
    <w:tmpl w:val="F294C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63238"/>
    <w:multiLevelType w:val="multilevel"/>
    <w:tmpl w:val="889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1CE10"/>
    <w:multiLevelType w:val="hybridMultilevel"/>
    <w:tmpl w:val="828EEF3C"/>
    <w:lvl w:ilvl="0" w:tplc="5DA61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AB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CD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AE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86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24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2C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67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E7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03D9B"/>
    <w:multiLevelType w:val="hybridMultilevel"/>
    <w:tmpl w:val="596E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B74B9"/>
    <w:multiLevelType w:val="multilevel"/>
    <w:tmpl w:val="631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A51BE"/>
    <w:multiLevelType w:val="hybridMultilevel"/>
    <w:tmpl w:val="36E0B1D2"/>
    <w:lvl w:ilvl="0" w:tplc="AA62F7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75ECD"/>
    <w:multiLevelType w:val="multilevel"/>
    <w:tmpl w:val="4024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51FEC"/>
    <w:multiLevelType w:val="multilevel"/>
    <w:tmpl w:val="A410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CD6F68"/>
    <w:multiLevelType w:val="multilevel"/>
    <w:tmpl w:val="4E7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12137D"/>
    <w:multiLevelType w:val="multilevel"/>
    <w:tmpl w:val="BC9C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5935F6"/>
    <w:multiLevelType w:val="hybridMultilevel"/>
    <w:tmpl w:val="9CF62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C4455"/>
    <w:multiLevelType w:val="hybridMultilevel"/>
    <w:tmpl w:val="253CCD46"/>
    <w:lvl w:ilvl="0" w:tplc="A0289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767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0D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26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22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AB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A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4F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85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333C5"/>
    <w:multiLevelType w:val="multilevel"/>
    <w:tmpl w:val="AFD4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E92055"/>
    <w:multiLevelType w:val="hybridMultilevel"/>
    <w:tmpl w:val="F47A8406"/>
    <w:lvl w:ilvl="0" w:tplc="0E08BD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45696"/>
    <w:multiLevelType w:val="hybridMultilevel"/>
    <w:tmpl w:val="E5F6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91096"/>
    <w:multiLevelType w:val="hybridMultilevel"/>
    <w:tmpl w:val="67549EA4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 w15:restartNumberingAfterBreak="0">
    <w:nsid w:val="5CD77D52"/>
    <w:multiLevelType w:val="multilevel"/>
    <w:tmpl w:val="F394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9F525F"/>
    <w:multiLevelType w:val="multilevel"/>
    <w:tmpl w:val="AEF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E69BFC"/>
    <w:multiLevelType w:val="multilevel"/>
    <w:tmpl w:val="BEC07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40" w:hanging="54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526EF"/>
    <w:multiLevelType w:val="hybridMultilevel"/>
    <w:tmpl w:val="D6E82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14E96"/>
    <w:multiLevelType w:val="multilevel"/>
    <w:tmpl w:val="3E6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4F2C72"/>
    <w:multiLevelType w:val="hybridMultilevel"/>
    <w:tmpl w:val="9C86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C723C"/>
    <w:multiLevelType w:val="hybridMultilevel"/>
    <w:tmpl w:val="5106B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E4696"/>
    <w:multiLevelType w:val="hybridMultilevel"/>
    <w:tmpl w:val="6C266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DC1E74"/>
    <w:multiLevelType w:val="hybridMultilevel"/>
    <w:tmpl w:val="6FE2B2CC"/>
    <w:lvl w:ilvl="0" w:tplc="D9344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88A6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26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AE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87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4A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C4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C0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47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91767"/>
    <w:multiLevelType w:val="multilevel"/>
    <w:tmpl w:val="01D2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A06E6F"/>
    <w:multiLevelType w:val="hybridMultilevel"/>
    <w:tmpl w:val="D07C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F4ADA"/>
    <w:multiLevelType w:val="multilevel"/>
    <w:tmpl w:val="BE1E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FB1207"/>
    <w:multiLevelType w:val="multilevel"/>
    <w:tmpl w:val="814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455E25"/>
    <w:multiLevelType w:val="multilevel"/>
    <w:tmpl w:val="045C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DC7912"/>
    <w:multiLevelType w:val="hybridMultilevel"/>
    <w:tmpl w:val="D676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36682F"/>
    <w:multiLevelType w:val="hybridMultilevel"/>
    <w:tmpl w:val="374EFB76"/>
    <w:lvl w:ilvl="0" w:tplc="50DA2510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514A7E"/>
    <w:multiLevelType w:val="multilevel"/>
    <w:tmpl w:val="27E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954E21"/>
    <w:multiLevelType w:val="multilevel"/>
    <w:tmpl w:val="414C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B52A5E"/>
    <w:multiLevelType w:val="hybridMultilevel"/>
    <w:tmpl w:val="0196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84828">
    <w:abstractNumId w:val="22"/>
  </w:num>
  <w:num w:numId="2" w16cid:durableId="367267967">
    <w:abstractNumId w:val="6"/>
  </w:num>
  <w:num w:numId="3" w16cid:durableId="2018194536">
    <w:abstractNumId w:val="44"/>
  </w:num>
  <w:num w:numId="4" w16cid:durableId="401023755">
    <w:abstractNumId w:val="31"/>
  </w:num>
  <w:num w:numId="5" w16cid:durableId="1847746036">
    <w:abstractNumId w:val="38"/>
  </w:num>
  <w:num w:numId="6" w16cid:durableId="821388831">
    <w:abstractNumId w:val="0"/>
  </w:num>
  <w:num w:numId="7" w16cid:durableId="1894272952">
    <w:abstractNumId w:val="46"/>
  </w:num>
  <w:num w:numId="8" w16cid:durableId="995568014">
    <w:abstractNumId w:val="9"/>
  </w:num>
  <w:num w:numId="9" w16cid:durableId="1018388443">
    <w:abstractNumId w:val="35"/>
  </w:num>
  <w:num w:numId="10" w16cid:durableId="2142459956">
    <w:abstractNumId w:val="51"/>
  </w:num>
  <w:num w:numId="11" w16cid:durableId="1592162358">
    <w:abstractNumId w:val="13"/>
  </w:num>
  <w:num w:numId="12" w16cid:durableId="1118842349">
    <w:abstractNumId w:val="5"/>
  </w:num>
  <w:num w:numId="13" w16cid:durableId="1764954931">
    <w:abstractNumId w:val="39"/>
  </w:num>
  <w:num w:numId="14" w16cid:durableId="382290339">
    <w:abstractNumId w:val="30"/>
  </w:num>
  <w:num w:numId="15" w16cid:durableId="478301319">
    <w:abstractNumId w:val="41"/>
  </w:num>
  <w:num w:numId="16" w16cid:durableId="1233347923">
    <w:abstractNumId w:val="18"/>
  </w:num>
  <w:num w:numId="17" w16cid:durableId="1268926164">
    <w:abstractNumId w:val="25"/>
  </w:num>
  <w:num w:numId="18" w16cid:durableId="536546350">
    <w:abstractNumId w:val="50"/>
  </w:num>
  <w:num w:numId="19" w16cid:durableId="673997321">
    <w:abstractNumId w:val="34"/>
  </w:num>
  <w:num w:numId="20" w16cid:durableId="2065791664">
    <w:abstractNumId w:val="54"/>
  </w:num>
  <w:num w:numId="21" w16cid:durableId="1110274925">
    <w:abstractNumId w:val="16"/>
  </w:num>
  <w:num w:numId="22" w16cid:durableId="2064328970">
    <w:abstractNumId w:val="15"/>
  </w:num>
  <w:num w:numId="23" w16cid:durableId="1043866067">
    <w:abstractNumId w:val="23"/>
  </w:num>
  <w:num w:numId="24" w16cid:durableId="486629867">
    <w:abstractNumId w:val="42"/>
  </w:num>
  <w:num w:numId="25" w16cid:durableId="1897204493">
    <w:abstractNumId w:val="20"/>
  </w:num>
  <w:num w:numId="26" w16cid:durableId="966399170">
    <w:abstractNumId w:val="11"/>
  </w:num>
  <w:num w:numId="27" w16cid:durableId="1872498176">
    <w:abstractNumId w:val="33"/>
  </w:num>
  <w:num w:numId="28" w16cid:durableId="1169176730">
    <w:abstractNumId w:val="3"/>
  </w:num>
  <w:num w:numId="29" w16cid:durableId="1263995937">
    <w:abstractNumId w:val="43"/>
  </w:num>
  <w:num w:numId="30" w16cid:durableId="576013906">
    <w:abstractNumId w:val="26"/>
  </w:num>
  <w:num w:numId="31" w16cid:durableId="1577980332">
    <w:abstractNumId w:val="49"/>
  </w:num>
  <w:num w:numId="32" w16cid:durableId="2052222197">
    <w:abstractNumId w:val="8"/>
  </w:num>
  <w:num w:numId="33" w16cid:durableId="1948542883">
    <w:abstractNumId w:val="19"/>
  </w:num>
  <w:num w:numId="34" w16cid:durableId="1841385556">
    <w:abstractNumId w:val="10"/>
  </w:num>
  <w:num w:numId="35" w16cid:durableId="1636061038">
    <w:abstractNumId w:val="48"/>
  </w:num>
  <w:num w:numId="36" w16cid:durableId="1443499597">
    <w:abstractNumId w:val="52"/>
  </w:num>
  <w:num w:numId="37" w16cid:durableId="486938659">
    <w:abstractNumId w:val="28"/>
  </w:num>
  <w:num w:numId="38" w16cid:durableId="936328467">
    <w:abstractNumId w:val="12"/>
  </w:num>
  <w:num w:numId="39" w16cid:durableId="2121873067">
    <w:abstractNumId w:val="29"/>
  </w:num>
  <w:num w:numId="40" w16cid:durableId="324480463">
    <w:abstractNumId w:val="1"/>
  </w:num>
  <w:num w:numId="41" w16cid:durableId="1928296798">
    <w:abstractNumId w:val="7"/>
  </w:num>
  <w:num w:numId="42" w16cid:durableId="1011680036">
    <w:abstractNumId w:val="32"/>
  </w:num>
  <w:num w:numId="43" w16cid:durableId="920676304">
    <w:abstractNumId w:val="21"/>
  </w:num>
  <w:num w:numId="44" w16cid:durableId="1273633078">
    <w:abstractNumId w:val="45"/>
  </w:num>
  <w:num w:numId="45" w16cid:durableId="346054582">
    <w:abstractNumId w:val="37"/>
  </w:num>
  <w:num w:numId="46" w16cid:durableId="1108156825">
    <w:abstractNumId w:val="47"/>
  </w:num>
  <w:num w:numId="47" w16cid:durableId="186602138">
    <w:abstractNumId w:val="17"/>
  </w:num>
  <w:num w:numId="48" w16cid:durableId="508372420">
    <w:abstractNumId w:val="14"/>
  </w:num>
  <w:num w:numId="49" w16cid:durableId="454300912">
    <w:abstractNumId w:val="4"/>
  </w:num>
  <w:num w:numId="50" w16cid:durableId="1009798445">
    <w:abstractNumId w:val="53"/>
  </w:num>
  <w:num w:numId="51" w16cid:durableId="29502494">
    <w:abstractNumId w:val="2"/>
  </w:num>
  <w:num w:numId="52" w16cid:durableId="498423819">
    <w:abstractNumId w:val="24"/>
  </w:num>
  <w:num w:numId="53" w16cid:durableId="985739271">
    <w:abstractNumId w:val="36"/>
  </w:num>
  <w:num w:numId="54" w16cid:durableId="1901748786">
    <w:abstractNumId w:val="27"/>
  </w:num>
  <w:num w:numId="55" w16cid:durableId="14347617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EA"/>
    <w:rsid w:val="00012D88"/>
    <w:rsid w:val="00074F04"/>
    <w:rsid w:val="000E02BB"/>
    <w:rsid w:val="001403B9"/>
    <w:rsid w:val="001A609C"/>
    <w:rsid w:val="001E36DD"/>
    <w:rsid w:val="0026591C"/>
    <w:rsid w:val="00346C21"/>
    <w:rsid w:val="003C2896"/>
    <w:rsid w:val="003C45CB"/>
    <w:rsid w:val="003F14F5"/>
    <w:rsid w:val="00400F70"/>
    <w:rsid w:val="00470D9E"/>
    <w:rsid w:val="004BB7D8"/>
    <w:rsid w:val="004C35D1"/>
    <w:rsid w:val="004D7E3D"/>
    <w:rsid w:val="00517DB5"/>
    <w:rsid w:val="00535474"/>
    <w:rsid w:val="00546C38"/>
    <w:rsid w:val="00556C6A"/>
    <w:rsid w:val="005919CA"/>
    <w:rsid w:val="005F79FC"/>
    <w:rsid w:val="0062427E"/>
    <w:rsid w:val="00626B9F"/>
    <w:rsid w:val="00636665"/>
    <w:rsid w:val="00637534"/>
    <w:rsid w:val="00647DB7"/>
    <w:rsid w:val="00652E1A"/>
    <w:rsid w:val="00653B7F"/>
    <w:rsid w:val="0066027D"/>
    <w:rsid w:val="00660DD2"/>
    <w:rsid w:val="00672656"/>
    <w:rsid w:val="006B1BC2"/>
    <w:rsid w:val="006B20EF"/>
    <w:rsid w:val="006E694D"/>
    <w:rsid w:val="006F43B9"/>
    <w:rsid w:val="00700CB1"/>
    <w:rsid w:val="00704BE5"/>
    <w:rsid w:val="00747A5D"/>
    <w:rsid w:val="007A224F"/>
    <w:rsid w:val="007B29C5"/>
    <w:rsid w:val="007D7D0C"/>
    <w:rsid w:val="00834616"/>
    <w:rsid w:val="00850075"/>
    <w:rsid w:val="00870DE1"/>
    <w:rsid w:val="008743F1"/>
    <w:rsid w:val="008E16D2"/>
    <w:rsid w:val="008E5CE7"/>
    <w:rsid w:val="008F2691"/>
    <w:rsid w:val="008F5653"/>
    <w:rsid w:val="00922F01"/>
    <w:rsid w:val="00936708"/>
    <w:rsid w:val="0096392E"/>
    <w:rsid w:val="00975C81"/>
    <w:rsid w:val="009B42C0"/>
    <w:rsid w:val="009C4451"/>
    <w:rsid w:val="009E5397"/>
    <w:rsid w:val="00A13B0F"/>
    <w:rsid w:val="00A3697E"/>
    <w:rsid w:val="00A46BEA"/>
    <w:rsid w:val="00A5415D"/>
    <w:rsid w:val="00AC2CD8"/>
    <w:rsid w:val="00AE24D5"/>
    <w:rsid w:val="00B30932"/>
    <w:rsid w:val="00B634E9"/>
    <w:rsid w:val="00BB08B0"/>
    <w:rsid w:val="00C32423"/>
    <w:rsid w:val="00C35C02"/>
    <w:rsid w:val="00C65ABC"/>
    <w:rsid w:val="00CC35F6"/>
    <w:rsid w:val="00CE40CB"/>
    <w:rsid w:val="00CE5819"/>
    <w:rsid w:val="00D454C8"/>
    <w:rsid w:val="00D55548"/>
    <w:rsid w:val="00D87FE0"/>
    <w:rsid w:val="00DC5609"/>
    <w:rsid w:val="00E26DC8"/>
    <w:rsid w:val="00E67F1E"/>
    <w:rsid w:val="00EB1C03"/>
    <w:rsid w:val="00EB3CFE"/>
    <w:rsid w:val="00EC0AB0"/>
    <w:rsid w:val="014E4197"/>
    <w:rsid w:val="040A33C9"/>
    <w:rsid w:val="04475C00"/>
    <w:rsid w:val="05A5D161"/>
    <w:rsid w:val="05A9337D"/>
    <w:rsid w:val="05D9034C"/>
    <w:rsid w:val="05E3707E"/>
    <w:rsid w:val="06012629"/>
    <w:rsid w:val="06D87F6E"/>
    <w:rsid w:val="08C9648E"/>
    <w:rsid w:val="090118EA"/>
    <w:rsid w:val="0975616E"/>
    <w:rsid w:val="09CCB0BF"/>
    <w:rsid w:val="0ACE4F69"/>
    <w:rsid w:val="0AEE0F48"/>
    <w:rsid w:val="0C2A9F89"/>
    <w:rsid w:val="0C2D8368"/>
    <w:rsid w:val="0C48F034"/>
    <w:rsid w:val="0C5FB07F"/>
    <w:rsid w:val="0D5783D4"/>
    <w:rsid w:val="0D8E45E9"/>
    <w:rsid w:val="0DC1D5B7"/>
    <w:rsid w:val="0DC5275A"/>
    <w:rsid w:val="0E46CA8D"/>
    <w:rsid w:val="0E67B64A"/>
    <w:rsid w:val="10D6551E"/>
    <w:rsid w:val="1130DBA8"/>
    <w:rsid w:val="12961A87"/>
    <w:rsid w:val="134C6AE3"/>
    <w:rsid w:val="14350AA4"/>
    <w:rsid w:val="17217469"/>
    <w:rsid w:val="17635512"/>
    <w:rsid w:val="17D78AC0"/>
    <w:rsid w:val="1A405F4C"/>
    <w:rsid w:val="1A61A976"/>
    <w:rsid w:val="1C6FF44B"/>
    <w:rsid w:val="1D6B7C84"/>
    <w:rsid w:val="1F4BA976"/>
    <w:rsid w:val="1F4FCA2D"/>
    <w:rsid w:val="1FBF6E14"/>
    <w:rsid w:val="20061EC7"/>
    <w:rsid w:val="204702DB"/>
    <w:rsid w:val="217C1AB3"/>
    <w:rsid w:val="21DC0095"/>
    <w:rsid w:val="220C7788"/>
    <w:rsid w:val="22C0E194"/>
    <w:rsid w:val="235C2B6B"/>
    <w:rsid w:val="23686E36"/>
    <w:rsid w:val="23B09002"/>
    <w:rsid w:val="23BA42B2"/>
    <w:rsid w:val="23CA1F2B"/>
    <w:rsid w:val="23D192F0"/>
    <w:rsid w:val="23D74D2B"/>
    <w:rsid w:val="2418F01E"/>
    <w:rsid w:val="246BB93E"/>
    <w:rsid w:val="25A81D5F"/>
    <w:rsid w:val="27582734"/>
    <w:rsid w:val="27972D50"/>
    <w:rsid w:val="28AF24F6"/>
    <w:rsid w:val="28C0ECE0"/>
    <w:rsid w:val="29627BB2"/>
    <w:rsid w:val="2A9AF2B4"/>
    <w:rsid w:val="2AEEF027"/>
    <w:rsid w:val="2B0BFC9B"/>
    <w:rsid w:val="2B618E57"/>
    <w:rsid w:val="2BA933C2"/>
    <w:rsid w:val="2C4CCD44"/>
    <w:rsid w:val="2CF12C2B"/>
    <w:rsid w:val="2D7D8A84"/>
    <w:rsid w:val="2EA9B3AE"/>
    <w:rsid w:val="2FAE5881"/>
    <w:rsid w:val="2FF95212"/>
    <w:rsid w:val="306143D6"/>
    <w:rsid w:val="3070D1E8"/>
    <w:rsid w:val="30940F08"/>
    <w:rsid w:val="31F0775B"/>
    <w:rsid w:val="31F4EC48"/>
    <w:rsid w:val="3253F543"/>
    <w:rsid w:val="32848B3A"/>
    <w:rsid w:val="331F6F55"/>
    <w:rsid w:val="33849542"/>
    <w:rsid w:val="33C7B688"/>
    <w:rsid w:val="346535BC"/>
    <w:rsid w:val="357613B9"/>
    <w:rsid w:val="362A1501"/>
    <w:rsid w:val="37613987"/>
    <w:rsid w:val="38A4CED5"/>
    <w:rsid w:val="38EEB60B"/>
    <w:rsid w:val="38FD11E4"/>
    <w:rsid w:val="38FD2073"/>
    <w:rsid w:val="3922CD2B"/>
    <w:rsid w:val="39756CF2"/>
    <w:rsid w:val="397EFA87"/>
    <w:rsid w:val="3A30B429"/>
    <w:rsid w:val="3D31A189"/>
    <w:rsid w:val="3E340DC2"/>
    <w:rsid w:val="3EE5907A"/>
    <w:rsid w:val="3F029C2B"/>
    <w:rsid w:val="3F6139F5"/>
    <w:rsid w:val="4130CA1B"/>
    <w:rsid w:val="4218EA81"/>
    <w:rsid w:val="42404598"/>
    <w:rsid w:val="4292F30E"/>
    <w:rsid w:val="42DB1B63"/>
    <w:rsid w:val="42E810A8"/>
    <w:rsid w:val="430BA8AE"/>
    <w:rsid w:val="43223001"/>
    <w:rsid w:val="43E0483C"/>
    <w:rsid w:val="442D8E93"/>
    <w:rsid w:val="4489B106"/>
    <w:rsid w:val="46068FBC"/>
    <w:rsid w:val="460EB4F9"/>
    <w:rsid w:val="46F4D441"/>
    <w:rsid w:val="47FFEB2D"/>
    <w:rsid w:val="48E2A997"/>
    <w:rsid w:val="49187DFE"/>
    <w:rsid w:val="49AC40AD"/>
    <w:rsid w:val="49D1E376"/>
    <w:rsid w:val="4AD57125"/>
    <w:rsid w:val="4B1920AD"/>
    <w:rsid w:val="4B8E045D"/>
    <w:rsid w:val="4BD1A6D4"/>
    <w:rsid w:val="4C589828"/>
    <w:rsid w:val="4D3C3DC8"/>
    <w:rsid w:val="4DFE16F7"/>
    <w:rsid w:val="4E52BD33"/>
    <w:rsid w:val="4E7162B5"/>
    <w:rsid w:val="4F332178"/>
    <w:rsid w:val="508A6A1B"/>
    <w:rsid w:val="51D10D65"/>
    <w:rsid w:val="52B637AA"/>
    <w:rsid w:val="52D0791B"/>
    <w:rsid w:val="530DAE6F"/>
    <w:rsid w:val="53CB8FC0"/>
    <w:rsid w:val="548A046E"/>
    <w:rsid w:val="55CDFF32"/>
    <w:rsid w:val="57593606"/>
    <w:rsid w:val="5790DE07"/>
    <w:rsid w:val="57B484F6"/>
    <w:rsid w:val="580612EE"/>
    <w:rsid w:val="58AD2DD0"/>
    <w:rsid w:val="59227728"/>
    <w:rsid w:val="5A2EAAC5"/>
    <w:rsid w:val="5B33B0FD"/>
    <w:rsid w:val="5BFCB2E9"/>
    <w:rsid w:val="5C5B4B86"/>
    <w:rsid w:val="5C5FE806"/>
    <w:rsid w:val="5D2F7884"/>
    <w:rsid w:val="5D80127E"/>
    <w:rsid w:val="5E564824"/>
    <w:rsid w:val="5EA574B7"/>
    <w:rsid w:val="5EC087CB"/>
    <w:rsid w:val="60177FD3"/>
    <w:rsid w:val="60291132"/>
    <w:rsid w:val="60333FB8"/>
    <w:rsid w:val="60D13102"/>
    <w:rsid w:val="60F8A931"/>
    <w:rsid w:val="614E02F2"/>
    <w:rsid w:val="63AB00AB"/>
    <w:rsid w:val="640DD9A1"/>
    <w:rsid w:val="64272FE3"/>
    <w:rsid w:val="650BEE23"/>
    <w:rsid w:val="6585A48A"/>
    <w:rsid w:val="65A0A977"/>
    <w:rsid w:val="65DAB856"/>
    <w:rsid w:val="66408391"/>
    <w:rsid w:val="68098C02"/>
    <w:rsid w:val="6826A01F"/>
    <w:rsid w:val="68CFC7AC"/>
    <w:rsid w:val="69494B16"/>
    <w:rsid w:val="6998C674"/>
    <w:rsid w:val="6AFAB010"/>
    <w:rsid w:val="6B1CDE20"/>
    <w:rsid w:val="6B8B5524"/>
    <w:rsid w:val="6C4F0CE7"/>
    <w:rsid w:val="6C54D820"/>
    <w:rsid w:val="6C86083C"/>
    <w:rsid w:val="6CE2DB97"/>
    <w:rsid w:val="6F56C7BC"/>
    <w:rsid w:val="6F91CEF6"/>
    <w:rsid w:val="6F994BD3"/>
    <w:rsid w:val="70E7BA7E"/>
    <w:rsid w:val="7170FDCE"/>
    <w:rsid w:val="72212303"/>
    <w:rsid w:val="724FC16E"/>
    <w:rsid w:val="725B7966"/>
    <w:rsid w:val="72BBD7AB"/>
    <w:rsid w:val="73E0F625"/>
    <w:rsid w:val="73F19223"/>
    <w:rsid w:val="74229E99"/>
    <w:rsid w:val="74AF1979"/>
    <w:rsid w:val="74D54E00"/>
    <w:rsid w:val="74DA5499"/>
    <w:rsid w:val="75C97A11"/>
    <w:rsid w:val="764D2106"/>
    <w:rsid w:val="76621370"/>
    <w:rsid w:val="76775266"/>
    <w:rsid w:val="782B7919"/>
    <w:rsid w:val="78352BC0"/>
    <w:rsid w:val="78E717DB"/>
    <w:rsid w:val="7A368641"/>
    <w:rsid w:val="7A48B912"/>
    <w:rsid w:val="7A65C7FF"/>
    <w:rsid w:val="7A6D6F79"/>
    <w:rsid w:val="7BB74E2A"/>
    <w:rsid w:val="7BEC8533"/>
    <w:rsid w:val="7BFC6B6A"/>
    <w:rsid w:val="7D209E8A"/>
    <w:rsid w:val="7DC85535"/>
    <w:rsid w:val="7E04260D"/>
    <w:rsid w:val="7E10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18745"/>
  <w15:chartTrackingRefBased/>
  <w15:docId w15:val="{0CA49CAB-9AD0-4EB7-8353-5EB7E2A8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54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5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5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EA"/>
  </w:style>
  <w:style w:type="paragraph" w:styleId="Footer">
    <w:name w:val="footer"/>
    <w:basedOn w:val="Normal"/>
    <w:link w:val="FooterChar"/>
    <w:uiPriority w:val="99"/>
    <w:unhideWhenUsed/>
    <w:rsid w:val="00A4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EA"/>
  </w:style>
  <w:style w:type="paragraph" w:styleId="ListParagraph">
    <w:name w:val="List Paragraph"/>
    <w:basedOn w:val="Normal"/>
    <w:uiPriority w:val="34"/>
    <w:qFormat/>
    <w:rsid w:val="001403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55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5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5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yperlink">
    <w:name w:val="Hyperlink"/>
    <w:rsid w:val="00D55548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D55548"/>
    <w:pPr>
      <w:spacing w:after="120" w:line="480" w:lineRule="auto"/>
    </w:pPr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D55548"/>
    <w:rPr>
      <w:rFonts w:asciiTheme="minorHAnsi" w:eastAsiaTheme="minorEastAsia" w:hAnsiTheme="minorHAnsi" w:cstheme="minorBid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B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4ee53-0cc7-423a-b393-45e5095a1399">
      <Terms xmlns="http://schemas.microsoft.com/office/infopath/2007/PartnerControls"/>
    </lcf76f155ced4ddcb4097134ff3c332f>
    <TaxCatchAll xmlns="421f4131-b2ef-4469-bff2-eb2a59e276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CA499DD28B3489CE93BC79F5117D9" ma:contentTypeVersion="13" ma:contentTypeDescription="Create a new document." ma:contentTypeScope="" ma:versionID="d109a22d0c50b8b11eab5cfb2983c2fc">
  <xsd:schema xmlns:xsd="http://www.w3.org/2001/XMLSchema" xmlns:xs="http://www.w3.org/2001/XMLSchema" xmlns:p="http://schemas.microsoft.com/office/2006/metadata/properties" xmlns:ns2="bed4ee53-0cc7-423a-b393-45e5095a1399" xmlns:ns3="421f4131-b2ef-4469-bff2-eb2a59e276ff" targetNamespace="http://schemas.microsoft.com/office/2006/metadata/properties" ma:root="true" ma:fieldsID="e5d82de5682dd017dcbb0d0ee2491aea" ns2:_="" ns3:_="">
    <xsd:import namespace="bed4ee53-0cc7-423a-b393-45e5095a1399"/>
    <xsd:import namespace="421f4131-b2ef-4469-bff2-eb2a59e27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4ee53-0cc7-423a-b393-45e5095a1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076574-7664-4c94-8f8b-c1187f363e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4131-b2ef-4469-bff2-eb2a59e27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029b15-3516-4eef-aff8-23a6f603912c}" ma:internalName="TaxCatchAll" ma:showField="CatchAllData" ma:web="421f4131-b2ef-4469-bff2-eb2a59e27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4D723-4A3B-4F8F-873E-C9CA09E4C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2B3C7-C61B-4B20-AF23-55378A8C3FD8}">
  <ds:schemaRefs>
    <ds:schemaRef ds:uri="http://schemas.microsoft.com/office/2006/metadata/properties"/>
    <ds:schemaRef ds:uri="http://schemas.microsoft.com/office/infopath/2007/PartnerControls"/>
    <ds:schemaRef ds:uri="bed4ee53-0cc7-423a-b393-45e5095a1399"/>
    <ds:schemaRef ds:uri="421f4131-b2ef-4469-bff2-eb2a59e276ff"/>
  </ds:schemaRefs>
</ds:datastoreItem>
</file>

<file path=customXml/itemProps3.xml><?xml version="1.0" encoding="utf-8"?>
<ds:datastoreItem xmlns:ds="http://schemas.openxmlformats.org/officeDocument/2006/customXml" ds:itemID="{2E19BB86-2224-49AB-961F-DE46E567E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307C7-3B9B-4588-8A9C-B617B7225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4ee53-0cc7-423a-b393-45e5095a1399"/>
    <ds:schemaRef ds:uri="421f4131-b2ef-4469-bff2-eb2a59e27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6126</Characters>
  <Application>Microsoft Office Word</Application>
  <DocSecurity>0</DocSecurity>
  <Lines>139</Lines>
  <Paragraphs>98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LM. Miller</dc:creator>
  <cp:keywords/>
  <dc:description/>
  <cp:lastModifiedBy>Stephanie Biggs</cp:lastModifiedBy>
  <cp:revision>3</cp:revision>
  <dcterms:created xsi:type="dcterms:W3CDTF">2025-12-18T14:19:00Z</dcterms:created>
  <dcterms:modified xsi:type="dcterms:W3CDTF">2025-12-18T14:20:00Z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0x010100D7CCA499DD28B3489CE93BC79F5117D9</vt:lpwstr>
  </property>
  <property fmtid="{D5CDD505-2E9C-101B-9397-08002B2CF9AE}" pid="3" name="MediaServiceImageTags">
    <vt:lpwstr/>
  </property>
</Properties>
</file>